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CE36" w14:textId="77777777" w:rsidR="0022036C" w:rsidRDefault="00CE1632">
      <w:pPr>
        <w:jc w:val="center"/>
      </w:pPr>
      <w:r>
        <w:t>192 FERC ¶ 61,015</w:t>
      </w:r>
    </w:p>
    <w:p w14:paraId="1336CE34" w14:textId="77777777" w:rsidR="00D42B1D" w:rsidRPr="00CD0B38" w:rsidRDefault="00D42B1D" w:rsidP="00A21FE3">
      <w:pPr>
        <w:jc w:val="center"/>
      </w:pPr>
      <w:r>
        <w:rPr>
          <w:b/>
        </w:rPr>
        <w:fldChar w:fldCharType="begin"/>
      </w:r>
      <w:r>
        <w:rPr>
          <w:b/>
        </w:rPr>
        <w:instrText xml:space="preserve"> MACROBUTTON  AcceptAllChangesInDoc </w:instrText>
      </w:r>
      <w:r>
        <w:rPr>
          <w:b/>
        </w:rPr>
        <w:fldChar w:fldCharType="end"/>
      </w:r>
      <w:r w:rsidRPr="00CD0B38">
        <w:t>UNITED STATES OF AMERICA</w:t>
      </w:r>
    </w:p>
    <w:p w14:paraId="3891598A" w14:textId="77777777" w:rsidR="00D42B1D" w:rsidRPr="00CD0B38" w:rsidRDefault="00D42B1D" w:rsidP="0047470A">
      <w:pPr>
        <w:jc w:val="center"/>
      </w:pPr>
      <w:r w:rsidRPr="00CD0B38">
        <w:t>FEDERAL ENERGY REGULATORY COMMISSION</w:t>
      </w:r>
    </w:p>
    <w:p w14:paraId="3B24C2E6" w14:textId="77777777" w:rsidR="00D42B1D" w:rsidRPr="00CD0B38" w:rsidRDefault="00D42B1D" w:rsidP="0047470A"/>
    <w:p w14:paraId="0C55BB23" w14:textId="77777777" w:rsidR="00D42B1D" w:rsidRPr="00A21FE3" w:rsidRDefault="00A21FE3" w:rsidP="00A21FE3">
      <w:pPr>
        <w:widowControl/>
      </w:pPr>
      <w:r w:rsidRPr="00A21FE3">
        <w:t xml:space="preserve">Before Commissioners:  Mark C. Christie, </w:t>
      </w:r>
      <w:proofErr w:type="gramStart"/>
      <w:r w:rsidRPr="00A21FE3">
        <w:t>Chairman;</w:t>
      </w:r>
      <w:proofErr w:type="gramEnd"/>
    </w:p>
    <w:p w14:paraId="4FF8EF6D" w14:textId="77777777" w:rsidR="00A21FE3" w:rsidRPr="00A21FE3" w:rsidRDefault="00A21FE3" w:rsidP="00A21FE3">
      <w:pPr>
        <w:widowControl/>
      </w:pPr>
      <w:r w:rsidRPr="00A21FE3">
        <w:t xml:space="preserve">                                        David Rosner, Lindsay S. See,</w:t>
      </w:r>
    </w:p>
    <w:p w14:paraId="1C060DE7" w14:textId="77777777" w:rsidR="00A21FE3" w:rsidRPr="00CD0B38" w:rsidRDefault="00A21FE3" w:rsidP="00A21FE3">
      <w:pPr>
        <w:widowControl/>
      </w:pPr>
      <w:r w:rsidRPr="00A21FE3">
        <w:t xml:space="preserve">                                        and Judy W. Chang.</w:t>
      </w:r>
    </w:p>
    <w:p w14:paraId="2F502093" w14:textId="77777777" w:rsidR="00D42B1D" w:rsidRPr="00CD0B38" w:rsidRDefault="00D42B1D" w:rsidP="0047470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1"/>
        <w:gridCol w:w="1535"/>
        <w:gridCol w:w="1894"/>
      </w:tblGrid>
      <w:tr w:rsidR="00D42B1D" w:rsidRPr="00CD0B38" w14:paraId="15F47361" w14:textId="77777777" w:rsidTr="00D42B1D">
        <w:tc>
          <w:tcPr>
            <w:tcW w:w="6088" w:type="dxa"/>
            <w:shd w:val="clear" w:color="auto" w:fill="auto"/>
          </w:tcPr>
          <w:p w14:paraId="2FFE7016" w14:textId="77777777" w:rsidR="00D42B1D" w:rsidRPr="00CD0B38" w:rsidRDefault="00D42B1D" w:rsidP="0047470A">
            <w:pPr>
              <w:widowControl/>
              <w:autoSpaceDE/>
              <w:autoSpaceDN/>
              <w:adjustRightInd/>
              <w:rPr>
                <w:rFonts w:eastAsiaTheme="minorHAnsi" w:cstheme="minorBidi"/>
                <w:szCs w:val="22"/>
              </w:rPr>
            </w:pPr>
            <w:r>
              <w:rPr>
                <w:rFonts w:eastAsiaTheme="minorHAnsi" w:cstheme="minorBidi"/>
                <w:szCs w:val="22"/>
              </w:rPr>
              <w:t>San Diego Gas &amp; Electric Co</w:t>
            </w:r>
            <w:r w:rsidR="0084172F">
              <w:rPr>
                <w:rFonts w:eastAsiaTheme="minorHAnsi" w:cstheme="minorBidi"/>
                <w:szCs w:val="22"/>
              </w:rPr>
              <w:t>mpany</w:t>
            </w:r>
            <w:r>
              <w:rPr>
                <w:rFonts w:eastAsiaTheme="minorHAnsi" w:cstheme="minorBidi"/>
                <w:szCs w:val="22"/>
              </w:rPr>
              <w:t xml:space="preserve"> </w:t>
            </w:r>
          </w:p>
        </w:tc>
        <w:tc>
          <w:tcPr>
            <w:tcW w:w="1560" w:type="dxa"/>
            <w:shd w:val="clear" w:color="auto" w:fill="auto"/>
          </w:tcPr>
          <w:p w14:paraId="4F1EB6CF" w14:textId="77777777" w:rsidR="00D42B1D" w:rsidRPr="00CD0B38" w:rsidRDefault="00D42B1D" w:rsidP="00D42B1D">
            <w:pPr>
              <w:widowControl/>
              <w:autoSpaceDE/>
              <w:autoSpaceDN/>
              <w:adjustRightInd/>
              <w:jc w:val="right"/>
              <w:rPr>
                <w:rFonts w:eastAsiaTheme="minorHAnsi" w:cstheme="minorBidi"/>
                <w:szCs w:val="22"/>
              </w:rPr>
            </w:pPr>
            <w:r>
              <w:rPr>
                <w:rFonts w:eastAsiaTheme="minorHAnsi" w:cstheme="minorBidi"/>
                <w:szCs w:val="22"/>
              </w:rPr>
              <w:t>Docket No.</w:t>
            </w:r>
          </w:p>
        </w:tc>
        <w:tc>
          <w:tcPr>
            <w:tcW w:w="1928" w:type="dxa"/>
            <w:shd w:val="clear" w:color="auto" w:fill="auto"/>
            <w:tcMar>
              <w:left w:w="144" w:type="dxa"/>
            </w:tcMar>
          </w:tcPr>
          <w:p w14:paraId="68581397" w14:textId="77777777" w:rsidR="00D42B1D" w:rsidRPr="00CD0B38" w:rsidRDefault="00D42B1D" w:rsidP="0047470A">
            <w:pPr>
              <w:widowControl/>
              <w:autoSpaceDE/>
              <w:autoSpaceDN/>
              <w:adjustRightInd/>
              <w:rPr>
                <w:rFonts w:eastAsiaTheme="minorHAnsi" w:cstheme="minorBidi"/>
                <w:szCs w:val="22"/>
              </w:rPr>
            </w:pPr>
            <w:r>
              <w:rPr>
                <w:rFonts w:eastAsiaTheme="minorHAnsi" w:cstheme="minorBidi"/>
                <w:szCs w:val="22"/>
              </w:rPr>
              <w:t>ER25-270-001</w:t>
            </w:r>
          </w:p>
        </w:tc>
      </w:tr>
    </w:tbl>
    <w:p w14:paraId="5DFB1CD0" w14:textId="77777777" w:rsidR="00D42B1D" w:rsidRPr="00CD0B38" w:rsidRDefault="00D42B1D" w:rsidP="0047470A">
      <w:pPr>
        <w:jc w:val="center"/>
      </w:pPr>
    </w:p>
    <w:p w14:paraId="058D49D5" w14:textId="77777777" w:rsidR="00D42B1D" w:rsidRPr="00CD0B38" w:rsidRDefault="00D42B1D" w:rsidP="0047470A">
      <w:pPr>
        <w:jc w:val="center"/>
      </w:pPr>
    </w:p>
    <w:p w14:paraId="185623EF" w14:textId="77777777" w:rsidR="00D42B1D" w:rsidRPr="00CD0B38" w:rsidRDefault="00F03641" w:rsidP="0047470A">
      <w:pPr>
        <w:jc w:val="center"/>
      </w:pPr>
      <w:r>
        <w:t>ORDER ADDRESSING ARGUMENTS RAISED ON REHEARING</w:t>
      </w:r>
    </w:p>
    <w:p w14:paraId="3BAD3A1A" w14:textId="77777777" w:rsidR="00D42B1D" w:rsidRPr="00CD0B38" w:rsidRDefault="00D42B1D" w:rsidP="0047470A">
      <w:pPr>
        <w:jc w:val="center"/>
      </w:pPr>
    </w:p>
    <w:p w14:paraId="7F9ACCB6" w14:textId="77777777" w:rsidR="00D42B1D" w:rsidRDefault="00A21FE3" w:rsidP="00A21FE3">
      <w:pPr>
        <w:widowControl/>
        <w:jc w:val="center"/>
      </w:pPr>
      <w:r w:rsidRPr="00A21FE3">
        <w:t>(Issued July 2, 2025)</w:t>
      </w:r>
    </w:p>
    <w:p w14:paraId="70AC5714" w14:textId="77777777" w:rsidR="00D42B1D" w:rsidRPr="00C26B1C" w:rsidRDefault="00D42B1D" w:rsidP="0047470A">
      <w:pPr>
        <w:rPr>
          <w:bCs/>
        </w:rPr>
      </w:pPr>
    </w:p>
    <w:p w14:paraId="1E9588F0" w14:textId="77777777" w:rsidR="0021226B" w:rsidRDefault="00076BCF" w:rsidP="0021226B">
      <w:pPr>
        <w:pStyle w:val="FERCparanumber"/>
      </w:pPr>
      <w:r w:rsidRPr="00076BCF">
        <w:t xml:space="preserve">On December </w:t>
      </w:r>
      <w:r w:rsidR="00743700">
        <w:t>31, 2024</w:t>
      </w:r>
      <w:r w:rsidRPr="00076BCF">
        <w:t xml:space="preserve">, the Commission issued an order addressing </w:t>
      </w:r>
      <w:r w:rsidR="00743700">
        <w:t>San Diego Gas &amp; Electric Company’s</w:t>
      </w:r>
      <w:r w:rsidRPr="00076BCF">
        <w:t xml:space="preserve"> (</w:t>
      </w:r>
      <w:r w:rsidR="00743700">
        <w:t>SDG&amp;E</w:t>
      </w:r>
      <w:r w:rsidRPr="00076BCF">
        <w:t xml:space="preserve">) proposed revisions to its Transmission Owner Tariff (TO Tariff) to </w:t>
      </w:r>
      <w:r w:rsidR="00743700">
        <w:t>implement a new</w:t>
      </w:r>
      <w:r w:rsidRPr="00076BCF">
        <w:t xml:space="preserve"> </w:t>
      </w:r>
      <w:r w:rsidR="00F5024B">
        <w:t xml:space="preserve">transmission </w:t>
      </w:r>
      <w:r w:rsidRPr="00076BCF">
        <w:t>formula rate (Formula Rate) for the costs associated with its transmission facilities.</w:t>
      </w:r>
      <w:r w:rsidRPr="00076BCF">
        <w:rPr>
          <w:b/>
          <w:vertAlign w:val="superscript"/>
        </w:rPr>
        <w:footnoteReference w:id="2"/>
      </w:r>
      <w:r w:rsidRPr="00076BCF">
        <w:t xml:space="preserve">  The Commission accepted those revisions in part, suspended them for a </w:t>
      </w:r>
      <w:r w:rsidR="00290D44">
        <w:t>five</w:t>
      </w:r>
      <w:r w:rsidR="005E1427">
        <w:t>-</w:t>
      </w:r>
      <w:r w:rsidR="00290D44">
        <w:t>month</w:t>
      </w:r>
      <w:r w:rsidR="005F322C">
        <w:t xml:space="preserve"> period</w:t>
      </w:r>
      <w:r w:rsidR="00290D44">
        <w:t xml:space="preserve"> to become effective June 1, 2025</w:t>
      </w:r>
      <w:r w:rsidRPr="00076BCF">
        <w:t>, and established hearing and settlement judge procedures.</w:t>
      </w:r>
      <w:r w:rsidRPr="00CF2960">
        <w:rPr>
          <w:bCs/>
        </w:rPr>
        <w:t xml:space="preserve"> </w:t>
      </w:r>
      <w:r w:rsidRPr="00076BCF">
        <w:t xml:space="preserve"> As relevant here, the Commission also rejected </w:t>
      </w:r>
      <w:r w:rsidR="00290D44">
        <w:t>SDG&amp;E’s</w:t>
      </w:r>
      <w:r w:rsidRPr="00076BCF">
        <w:t xml:space="preserve"> request for an adder </w:t>
      </w:r>
      <w:r w:rsidR="00901698" w:rsidRPr="00076BCF">
        <w:t>(RTO Adder)</w:t>
      </w:r>
      <w:r w:rsidR="00901698">
        <w:t xml:space="preserve"> </w:t>
      </w:r>
      <w:r w:rsidRPr="00076BCF">
        <w:t xml:space="preserve">to its proposed return on </w:t>
      </w:r>
      <w:r w:rsidR="000D72D3">
        <w:t>co</w:t>
      </w:r>
      <w:r w:rsidR="00FB737D">
        <w:t xml:space="preserve">mmon </w:t>
      </w:r>
      <w:r w:rsidRPr="00076BCF">
        <w:t xml:space="preserve">equity </w:t>
      </w:r>
      <w:r w:rsidR="00EB7185">
        <w:t xml:space="preserve">(ROE) </w:t>
      </w:r>
      <w:r w:rsidRPr="00076BCF">
        <w:t>for its continued participation in the California Independent System Operator Corporation (CAISO).</w:t>
      </w:r>
      <w:r w:rsidRPr="00076BCF">
        <w:rPr>
          <w:b/>
          <w:vertAlign w:val="superscript"/>
        </w:rPr>
        <w:footnoteReference w:id="3"/>
      </w:r>
      <w:r w:rsidR="00596F4B">
        <w:t xml:space="preserve">  On </w:t>
      </w:r>
      <w:r w:rsidR="005B7029">
        <w:t>January 30, 2025, SDG&amp;E</w:t>
      </w:r>
      <w:r w:rsidR="003C316C">
        <w:t>, Pacific Gas and Electric Co. (PG&amp;E), and Southern California Edison Company (SoCal Edison)</w:t>
      </w:r>
      <w:r w:rsidR="0021226B">
        <w:t xml:space="preserve"> (</w:t>
      </w:r>
      <w:r w:rsidR="001A7A13">
        <w:t>California IOU</w:t>
      </w:r>
      <w:r w:rsidR="0021226B">
        <w:t xml:space="preserve">) jointly filed a </w:t>
      </w:r>
      <w:r w:rsidR="005F322C">
        <w:t xml:space="preserve">timely </w:t>
      </w:r>
      <w:r w:rsidR="0021226B">
        <w:t xml:space="preserve">request for rehearing of the </w:t>
      </w:r>
      <w:r w:rsidR="00484E8B">
        <w:t>Formula Rate</w:t>
      </w:r>
      <w:r w:rsidR="0019098E">
        <w:t xml:space="preserve"> Order</w:t>
      </w:r>
      <w:r w:rsidR="0021226B">
        <w:t xml:space="preserve">.  </w:t>
      </w:r>
    </w:p>
    <w:p w14:paraId="69B31D9A" w14:textId="77777777" w:rsidR="00076BCF" w:rsidRDefault="00076BCF" w:rsidP="0021226B">
      <w:pPr>
        <w:pStyle w:val="FERCparanumber"/>
      </w:pPr>
      <w:r w:rsidRPr="00076BCF">
        <w:t xml:space="preserve">Pursuant to </w:t>
      </w:r>
      <w:r w:rsidRPr="00076BCF">
        <w:rPr>
          <w:i/>
          <w:iCs/>
        </w:rPr>
        <w:t>Allegheny Defense Project v. FERC</w:t>
      </w:r>
      <w:r w:rsidRPr="00076BCF">
        <w:t>,</w:t>
      </w:r>
      <w:r w:rsidRPr="00076BCF">
        <w:rPr>
          <w:b/>
          <w:vertAlign w:val="superscript"/>
        </w:rPr>
        <w:footnoteReference w:id="4"/>
      </w:r>
      <w:r w:rsidRPr="00076BCF">
        <w:t xml:space="preserve"> the rehearing request filed in this proceeding may be deemed denied by operation of law.  However, as permitted by section 313(a) of the Federal Power Act (FPA),</w:t>
      </w:r>
      <w:r w:rsidRPr="00076BCF">
        <w:rPr>
          <w:b/>
          <w:vertAlign w:val="superscript"/>
        </w:rPr>
        <w:footnoteReference w:id="5"/>
      </w:r>
      <w:r w:rsidRPr="00076BCF">
        <w:t xml:space="preserve"> we are modifying the discussion in the </w:t>
      </w:r>
      <w:r w:rsidR="00484E8B">
        <w:lastRenderedPageBreak/>
        <w:t>Formula Rate</w:t>
      </w:r>
      <w:r w:rsidR="0019098E">
        <w:t xml:space="preserve"> Order</w:t>
      </w:r>
      <w:r w:rsidRPr="00076BCF">
        <w:t xml:space="preserve"> and continue to reach the same result in this proceeding, as discussed below.</w:t>
      </w:r>
      <w:r w:rsidRPr="00076BCF">
        <w:rPr>
          <w:b/>
          <w:vertAlign w:val="superscript"/>
        </w:rPr>
        <w:footnoteReference w:id="6"/>
      </w:r>
    </w:p>
    <w:p w14:paraId="1783828D" w14:textId="77777777" w:rsidR="000D0559" w:rsidRDefault="00F26605" w:rsidP="00F26605">
      <w:pPr>
        <w:pStyle w:val="Heading1"/>
      </w:pPr>
      <w:r>
        <w:t>Background</w:t>
      </w:r>
    </w:p>
    <w:p w14:paraId="2B341A64" w14:textId="77777777" w:rsidR="003515CF" w:rsidRDefault="00825C7D" w:rsidP="003440F0">
      <w:pPr>
        <w:pStyle w:val="FERCparanumber"/>
      </w:pPr>
      <w:r>
        <w:t xml:space="preserve">SDG&amp;E proposed in its Formula Rate </w:t>
      </w:r>
      <w:r w:rsidR="00EB7185">
        <w:t>a 12.25</w:t>
      </w:r>
      <w:r w:rsidR="00922F94">
        <w:t>% ROE, consisting of an 11.75% base ROE and a 50-basis point RTO Adder</w:t>
      </w:r>
      <w:r w:rsidR="00B16497">
        <w:t>, which it asserted</w:t>
      </w:r>
      <w:r w:rsidR="004A4853">
        <w:t xml:space="preserve"> is allowed by</w:t>
      </w:r>
      <w:r w:rsidR="00B16497">
        <w:t xml:space="preserve"> Commission policy in cases of voluntary participation in </w:t>
      </w:r>
      <w:r w:rsidR="00D478E8">
        <w:t>a Commission-approved Transmission Organization</w:t>
      </w:r>
      <w:r w:rsidR="00991899">
        <w:t>.</w:t>
      </w:r>
      <w:r w:rsidR="00D478E8">
        <w:rPr>
          <w:rStyle w:val="FootnoteReference"/>
        </w:rPr>
        <w:footnoteReference w:id="7"/>
      </w:r>
      <w:r w:rsidR="007A4A41">
        <w:t xml:space="preserve">  SDG&amp;E noted the Commission’s </w:t>
      </w:r>
      <w:r w:rsidR="0011322B">
        <w:t xml:space="preserve">December 2023 </w:t>
      </w:r>
      <w:r w:rsidR="007A4A41">
        <w:t>decision</w:t>
      </w:r>
      <w:r w:rsidR="0011322B">
        <w:t xml:space="preserve"> holding that PG&amp;E was no longer eligible for the RTO Adder due to California’s passage of Assembly Bill 209</w:t>
      </w:r>
      <w:r w:rsidR="00265D43">
        <w:t>.</w:t>
      </w:r>
      <w:r w:rsidR="00991899">
        <w:rPr>
          <w:rStyle w:val="FootnoteReference"/>
        </w:rPr>
        <w:footnoteReference w:id="8"/>
      </w:r>
      <w:r w:rsidR="003038CB">
        <w:t xml:space="preserve">  However, </w:t>
      </w:r>
      <w:r w:rsidR="00605FDE">
        <w:t xml:space="preserve">SDG&amp;E stated that it had appealed the </w:t>
      </w:r>
      <w:r w:rsidR="00DD3B3E">
        <w:t>PG&amp;E</w:t>
      </w:r>
      <w:r w:rsidR="00605FDE">
        <w:t xml:space="preserve"> </w:t>
      </w:r>
      <w:r w:rsidR="00DD3B3E">
        <w:t>Orders</w:t>
      </w:r>
      <w:r w:rsidR="00605FDE">
        <w:t xml:space="preserve"> to the </w:t>
      </w:r>
      <w:r w:rsidR="00DB52BB">
        <w:t xml:space="preserve">United States Court of Appeals for the </w:t>
      </w:r>
      <w:r w:rsidR="00605FDE">
        <w:t>Ninth Circuit</w:t>
      </w:r>
      <w:r w:rsidR="00DB52BB">
        <w:t xml:space="preserve"> (Ninth Circuit)</w:t>
      </w:r>
      <w:r w:rsidR="00605FDE">
        <w:t>, and believe</w:t>
      </w:r>
      <w:r w:rsidR="004A4853">
        <w:t>d</w:t>
      </w:r>
      <w:r w:rsidR="003E3E93">
        <w:t xml:space="preserve"> that those decisions were wrongly decided.</w:t>
      </w:r>
      <w:r w:rsidR="003E3E93">
        <w:rPr>
          <w:rStyle w:val="FootnoteReference"/>
        </w:rPr>
        <w:footnoteReference w:id="9"/>
      </w:r>
    </w:p>
    <w:p w14:paraId="08E52687" w14:textId="77777777" w:rsidR="00981AF2" w:rsidRPr="002D71B9" w:rsidRDefault="00981AF2" w:rsidP="00E22B37">
      <w:pPr>
        <w:pStyle w:val="FERCparanumber"/>
        <w:widowControl w:val="0"/>
        <w:spacing w:after="240"/>
        <w:rPr>
          <w:szCs w:val="26"/>
        </w:rPr>
      </w:pPr>
      <w:r>
        <w:t xml:space="preserve">The Commission in the </w:t>
      </w:r>
      <w:r w:rsidR="00484E8B">
        <w:t>Formula Rate</w:t>
      </w:r>
      <w:r>
        <w:t xml:space="preserve"> Order</w:t>
      </w:r>
      <w:r w:rsidRPr="005443E1">
        <w:t xml:space="preserve"> </w:t>
      </w:r>
      <w:r>
        <w:t>summarily rejected</w:t>
      </w:r>
      <w:r w:rsidRPr="005443E1">
        <w:t xml:space="preserve"> </w:t>
      </w:r>
      <w:r w:rsidR="00154B7F">
        <w:t>SDG&amp;E’s</w:t>
      </w:r>
      <w:r w:rsidRPr="005443E1">
        <w:t xml:space="preserve"> request for </w:t>
      </w:r>
      <w:r>
        <w:t>the</w:t>
      </w:r>
      <w:r w:rsidRPr="005443E1">
        <w:t xml:space="preserve"> </w:t>
      </w:r>
      <w:r>
        <w:t>RTO A</w:t>
      </w:r>
      <w:r w:rsidRPr="005443E1">
        <w:t>dder for its continued participation in CAISO</w:t>
      </w:r>
      <w:r>
        <w:t>; the Commission set</w:t>
      </w:r>
      <w:r w:rsidRPr="005443E1">
        <w:t xml:space="preserve"> all</w:t>
      </w:r>
      <w:r>
        <w:t xml:space="preserve"> other</w:t>
      </w:r>
      <w:r w:rsidRPr="005443E1">
        <w:t xml:space="preserve"> issues raised in </w:t>
      </w:r>
      <w:r w:rsidR="00154B7F">
        <w:t>SDG&amp;E’s</w:t>
      </w:r>
      <w:r>
        <w:t xml:space="preserve"> p</w:t>
      </w:r>
      <w:r w:rsidRPr="005443E1">
        <w:t>roposed Formula Rate for hearing and settlement judge procedures.</w:t>
      </w:r>
      <w:r>
        <w:rPr>
          <w:rStyle w:val="FootnoteReference"/>
        </w:rPr>
        <w:footnoteReference w:id="10"/>
      </w:r>
      <w:r>
        <w:t xml:space="preserve"> </w:t>
      </w:r>
      <w:r w:rsidRPr="00A42976">
        <w:t xml:space="preserve"> </w:t>
      </w:r>
      <w:r w:rsidR="004E079A">
        <w:t xml:space="preserve">The Commission </w:t>
      </w:r>
      <w:r w:rsidR="005B499B">
        <w:t xml:space="preserve">noted that it </w:t>
      </w:r>
      <w:r w:rsidR="00E22B37">
        <w:t xml:space="preserve">was applying the same reasoning as in the </w:t>
      </w:r>
      <w:r w:rsidR="004C3B1B">
        <w:t>PG&amp;E Adder Order</w:t>
      </w:r>
      <w:r w:rsidR="00E22B37">
        <w:t>.</w:t>
      </w:r>
      <w:r w:rsidR="00154B7F">
        <w:rPr>
          <w:rStyle w:val="FootnoteReference"/>
        </w:rPr>
        <w:footnoteReference w:id="11"/>
      </w:r>
      <w:r w:rsidR="00E22B37">
        <w:t xml:space="preserve">  The Commission recognized that AB 209</w:t>
      </w:r>
      <w:r>
        <w:t xml:space="preserve">, effective September 6, 2022 </w:t>
      </w:r>
      <w:r w:rsidR="00C277F0">
        <w:t xml:space="preserve">and </w:t>
      </w:r>
      <w:r w:rsidR="00D85A9D">
        <w:t xml:space="preserve">codified as California Public Utilities Code section 362(c) and (d), </w:t>
      </w:r>
      <w:r>
        <w:t>require</w:t>
      </w:r>
      <w:r w:rsidRPr="00E73DE5">
        <w:t xml:space="preserve">s </w:t>
      </w:r>
      <w:r>
        <w:lastRenderedPageBreak/>
        <w:t>certain electrical corporations</w:t>
      </w:r>
      <w:r w:rsidR="00DD3797">
        <w:t>,</w:t>
      </w:r>
      <w:r w:rsidRPr="00634F4D">
        <w:rPr>
          <w:rStyle w:val="FootnoteReference"/>
          <w:szCs w:val="26"/>
        </w:rPr>
        <w:footnoteReference w:id="12"/>
      </w:r>
      <w:r w:rsidRPr="002D71B9">
        <w:rPr>
          <w:szCs w:val="26"/>
        </w:rPr>
        <w:t xml:space="preserve"> </w:t>
      </w:r>
      <w:r>
        <w:t xml:space="preserve">such as </w:t>
      </w:r>
      <w:r w:rsidR="00E22B37">
        <w:t>SDG&amp;E</w:t>
      </w:r>
      <w:r>
        <w:t>,</w:t>
      </w:r>
      <w:r w:rsidRPr="00E73DE5">
        <w:t xml:space="preserve"> </w:t>
      </w:r>
      <w:r>
        <w:t xml:space="preserve">to participate in </w:t>
      </w:r>
      <w:r w:rsidRPr="00E73DE5">
        <w:t>CAISO</w:t>
      </w:r>
      <w:r>
        <w:t>, and prohibits all electrical corporations from withdrawing facilities from the operational control of CAISO without approval of the California Public Utilities Commission (CPUC).</w:t>
      </w:r>
      <w:r>
        <w:rPr>
          <w:rStyle w:val="FootnoteReference"/>
        </w:rPr>
        <w:footnoteReference w:id="13"/>
      </w:r>
      <w:r>
        <w:t xml:space="preserve">  </w:t>
      </w:r>
    </w:p>
    <w:p w14:paraId="5A03C55C" w14:textId="77777777" w:rsidR="00981AF2" w:rsidRPr="00634F4D" w:rsidRDefault="00981AF2" w:rsidP="00981AF2">
      <w:pPr>
        <w:pStyle w:val="FERCparanumber"/>
        <w:spacing w:after="240"/>
        <w:rPr>
          <w:szCs w:val="26"/>
        </w:rPr>
      </w:pPr>
      <w:r>
        <w:rPr>
          <w:szCs w:val="26"/>
        </w:rPr>
        <w:t xml:space="preserve">The Commission disagreed with </w:t>
      </w:r>
      <w:r w:rsidR="00306B85">
        <w:rPr>
          <w:szCs w:val="26"/>
        </w:rPr>
        <w:t>SDG&amp;E</w:t>
      </w:r>
      <w:r>
        <w:rPr>
          <w:szCs w:val="26"/>
        </w:rPr>
        <w:t>’s</w:t>
      </w:r>
      <w:r w:rsidRPr="00F3095D">
        <w:rPr>
          <w:szCs w:val="26"/>
        </w:rPr>
        <w:t xml:space="preserve"> argu</w:t>
      </w:r>
      <w:r>
        <w:rPr>
          <w:szCs w:val="26"/>
        </w:rPr>
        <w:t>ment</w:t>
      </w:r>
      <w:r w:rsidRPr="00F3095D">
        <w:rPr>
          <w:szCs w:val="26"/>
        </w:rPr>
        <w:t xml:space="preserve"> that </w:t>
      </w:r>
      <w:r>
        <w:rPr>
          <w:szCs w:val="26"/>
        </w:rPr>
        <w:t>s</w:t>
      </w:r>
      <w:r w:rsidRPr="00F3095D">
        <w:rPr>
          <w:szCs w:val="26"/>
        </w:rPr>
        <w:t>ection 362(d)</w:t>
      </w:r>
      <w:r>
        <w:rPr>
          <w:szCs w:val="26"/>
        </w:rPr>
        <w:t xml:space="preserve"> of California Public Utilities Code, which states that “[a]</w:t>
      </w:r>
      <w:r w:rsidRPr="00EC555D">
        <w:rPr>
          <w:szCs w:val="26"/>
        </w:rPr>
        <w:t>n electrical corporation shall not withdraw a facility from the operational control of [CAISO] without [CPUC] approval</w:t>
      </w:r>
      <w:r>
        <w:rPr>
          <w:szCs w:val="26"/>
        </w:rPr>
        <w:t>,</w:t>
      </w:r>
      <w:r w:rsidRPr="00EC555D">
        <w:rPr>
          <w:szCs w:val="26"/>
        </w:rPr>
        <w:t>”</w:t>
      </w:r>
      <w:r w:rsidRPr="00F3095D">
        <w:rPr>
          <w:szCs w:val="26"/>
        </w:rPr>
        <w:t xml:space="preserve"> </w:t>
      </w:r>
      <w:r>
        <w:rPr>
          <w:szCs w:val="26"/>
        </w:rPr>
        <w:t>presents</w:t>
      </w:r>
      <w:r w:rsidRPr="00F3095D">
        <w:rPr>
          <w:szCs w:val="26"/>
        </w:rPr>
        <w:t xml:space="preserve"> </w:t>
      </w:r>
      <w:r>
        <w:rPr>
          <w:szCs w:val="26"/>
        </w:rPr>
        <w:t>a factual</w:t>
      </w:r>
      <w:r w:rsidRPr="00F3095D">
        <w:rPr>
          <w:szCs w:val="26"/>
        </w:rPr>
        <w:t xml:space="preserve"> dispute about whether </w:t>
      </w:r>
      <w:r w:rsidR="00306B85">
        <w:rPr>
          <w:szCs w:val="26"/>
        </w:rPr>
        <w:t>SDG&amp;E</w:t>
      </w:r>
      <w:r w:rsidRPr="00F3095D">
        <w:rPr>
          <w:szCs w:val="26"/>
        </w:rPr>
        <w:t xml:space="preserve"> is required to remain in CAISO.  </w:t>
      </w:r>
      <w:r>
        <w:rPr>
          <w:szCs w:val="26"/>
        </w:rPr>
        <w:t>The Commission found that s</w:t>
      </w:r>
      <w:r w:rsidRPr="00F3095D">
        <w:rPr>
          <w:szCs w:val="26"/>
        </w:rPr>
        <w:t xml:space="preserve">ection 362(d) explicitly addresses the circumstances under which an </w:t>
      </w:r>
      <w:r w:rsidRPr="00F3095D">
        <w:rPr>
          <w:rStyle w:val="Hyperlink"/>
          <w:color w:val="auto"/>
          <w:szCs w:val="26"/>
          <w:u w:val="none"/>
        </w:rPr>
        <w:t>electrical corporation</w:t>
      </w:r>
      <w:r w:rsidRPr="00F3095D">
        <w:rPr>
          <w:szCs w:val="26"/>
        </w:rPr>
        <w:t xml:space="preserve"> can </w:t>
      </w:r>
      <w:r>
        <w:rPr>
          <w:szCs w:val="26"/>
        </w:rPr>
        <w:t xml:space="preserve">withdraw a </w:t>
      </w:r>
      <w:r w:rsidRPr="009F6526">
        <w:rPr>
          <w:i/>
          <w:iCs/>
          <w:szCs w:val="26"/>
        </w:rPr>
        <w:t>particular facility</w:t>
      </w:r>
      <w:r w:rsidRPr="00F3095D">
        <w:rPr>
          <w:szCs w:val="26"/>
        </w:rPr>
        <w:t xml:space="preserve"> from CAISO</w:t>
      </w:r>
      <w:r>
        <w:rPr>
          <w:szCs w:val="26"/>
        </w:rPr>
        <w:t>’s operational control</w:t>
      </w:r>
      <w:r w:rsidRPr="00F3095D">
        <w:rPr>
          <w:szCs w:val="26"/>
        </w:rPr>
        <w:t xml:space="preserve">, not whether the </w:t>
      </w:r>
      <w:r w:rsidRPr="00F3095D">
        <w:rPr>
          <w:rStyle w:val="Hyperlink"/>
          <w:color w:val="auto"/>
          <w:szCs w:val="26"/>
          <w:u w:val="none"/>
        </w:rPr>
        <w:t>electrical corporation</w:t>
      </w:r>
      <w:r w:rsidRPr="00F3095D">
        <w:rPr>
          <w:szCs w:val="26"/>
        </w:rPr>
        <w:t xml:space="preserve"> itself</w:t>
      </w:r>
      <w:r w:rsidRPr="00634F4D">
        <w:rPr>
          <w:szCs w:val="26"/>
        </w:rPr>
        <w:t xml:space="preserve"> can withdraw.</w:t>
      </w:r>
      <w:r>
        <w:rPr>
          <w:rStyle w:val="FootnoteReference"/>
          <w:szCs w:val="26"/>
        </w:rPr>
        <w:footnoteReference w:id="14"/>
      </w:r>
    </w:p>
    <w:p w14:paraId="5DB73CBA" w14:textId="77777777" w:rsidR="00981AF2" w:rsidRPr="00375AF7" w:rsidRDefault="00981AF2" w:rsidP="00981AF2">
      <w:pPr>
        <w:pStyle w:val="FERCparanumber"/>
        <w:spacing w:after="240"/>
        <w:rPr>
          <w:szCs w:val="26"/>
        </w:rPr>
      </w:pPr>
      <w:r>
        <w:t>The Commission stated that it was not</w:t>
      </w:r>
      <w:r w:rsidRPr="007B53E6">
        <w:t xml:space="preserve"> persuaded by </w:t>
      </w:r>
      <w:r w:rsidR="009D7AF6">
        <w:t>SDG&amp;E’s</w:t>
      </w:r>
      <w:r w:rsidRPr="007B53E6">
        <w:t xml:space="preserve"> arguments </w:t>
      </w:r>
      <w:r>
        <w:t>that there is a</w:t>
      </w:r>
      <w:r w:rsidRPr="0032445F">
        <w:t xml:space="preserve"> disputed factual issue about whether </w:t>
      </w:r>
      <w:r w:rsidR="009D7AF6">
        <w:t>SDG&amp;E’s</w:t>
      </w:r>
      <w:r w:rsidRPr="0032445F">
        <w:t xml:space="preserve"> ongoing participation in CAISO is voluntary</w:t>
      </w:r>
      <w:r>
        <w:t xml:space="preserve"> and that the Commission should therefore set this issue for hearing and settlement judge procedures</w:t>
      </w:r>
      <w:r w:rsidRPr="007B53E6">
        <w:t xml:space="preserve">.  </w:t>
      </w:r>
      <w:r>
        <w:t>The Commission found instead that the</w:t>
      </w:r>
      <w:r w:rsidRPr="007B53E6">
        <w:t xml:space="preserve"> issue presented </w:t>
      </w:r>
      <w:r>
        <w:t>wa</w:t>
      </w:r>
      <w:r w:rsidRPr="007B53E6">
        <w:t>s a legal question of statutory interpretation and that it c</w:t>
      </w:r>
      <w:r>
        <w:t>ould</w:t>
      </w:r>
      <w:r w:rsidRPr="007B53E6">
        <w:t xml:space="preserve"> be resolved on the existing record.</w:t>
      </w:r>
      <w:r w:rsidRPr="007B53E6">
        <w:rPr>
          <w:b/>
          <w:vertAlign w:val="superscript"/>
        </w:rPr>
        <w:footnoteReference w:id="15"/>
      </w:r>
    </w:p>
    <w:p w14:paraId="59A19166" w14:textId="77777777" w:rsidR="00981AF2" w:rsidRDefault="00981AF2" w:rsidP="00981AF2">
      <w:pPr>
        <w:pStyle w:val="FERCparanumber"/>
        <w:spacing w:after="240"/>
      </w:pPr>
      <w:r>
        <w:t>Accordingly, the Commission found that, by virtue of the recently enacted California statute</w:t>
      </w:r>
      <w:proofErr w:type="gramStart"/>
      <w:r>
        <w:t>:  (</w:t>
      </w:r>
      <w:proofErr w:type="gramEnd"/>
      <w:r>
        <w:t xml:space="preserve">1) </w:t>
      </w:r>
      <w:r w:rsidR="009D7AF6">
        <w:t>SDG&amp;E</w:t>
      </w:r>
      <w:r>
        <w:t xml:space="preserve"> is required to participate in CAISO; (2) </w:t>
      </w:r>
      <w:r w:rsidR="009D7AF6">
        <w:t>SDG&amp;E</w:t>
      </w:r>
      <w:r>
        <w:t xml:space="preserve"> cannot unilaterally withdraw from CAISO; (3) </w:t>
      </w:r>
      <w:r w:rsidR="009D7AF6">
        <w:t>SDG&amp;E</w:t>
      </w:r>
      <w:r w:rsidR="002A6475">
        <w:t>’s</w:t>
      </w:r>
      <w:r>
        <w:t xml:space="preserve"> participation in CAISO is no longer voluntary; and (4) </w:t>
      </w:r>
      <w:r w:rsidR="009D7AF6">
        <w:t>SDG&amp;E</w:t>
      </w:r>
      <w:r>
        <w:t xml:space="preserve"> is no longer eligible for the RTO Adder.</w:t>
      </w:r>
      <w:r>
        <w:rPr>
          <w:rStyle w:val="FootnoteReference"/>
        </w:rPr>
        <w:footnoteReference w:id="16"/>
      </w:r>
      <w:r>
        <w:t xml:space="preserve">  </w:t>
      </w:r>
    </w:p>
    <w:p w14:paraId="2653CA20" w14:textId="77777777" w:rsidR="00537A19" w:rsidRDefault="00537A19" w:rsidP="00981AF2">
      <w:pPr>
        <w:pStyle w:val="FERCparanumber"/>
        <w:spacing w:after="240"/>
      </w:pPr>
      <w:r>
        <w:lastRenderedPageBreak/>
        <w:t xml:space="preserve">The Commission declined to address </w:t>
      </w:r>
      <w:r w:rsidR="00264D79">
        <w:t>SDG&amp;E’s arguments about preemption, finding that this proceeding was not the appropriate vehicle to address preemption concerns.</w:t>
      </w:r>
      <w:r w:rsidR="00264D79">
        <w:rPr>
          <w:rStyle w:val="FootnoteReference"/>
        </w:rPr>
        <w:footnoteReference w:id="17"/>
      </w:r>
    </w:p>
    <w:p w14:paraId="777DFFD1" w14:textId="77777777" w:rsidR="001A5EC2" w:rsidRDefault="001A5EC2" w:rsidP="00981AF2">
      <w:pPr>
        <w:pStyle w:val="FERCparanumber"/>
        <w:spacing w:after="240"/>
      </w:pPr>
      <w:r>
        <w:t xml:space="preserve">Finally, the Commission rejected SDG&amp;E’s argument that </w:t>
      </w:r>
      <w:r w:rsidR="005C39C4">
        <w:t>FPA section 219(c)</w:t>
      </w:r>
      <w:r w:rsidR="0030750A">
        <w:rPr>
          <w:rStyle w:val="FootnoteReference"/>
        </w:rPr>
        <w:footnoteReference w:id="18"/>
      </w:r>
      <w:r w:rsidR="005C39C4">
        <w:t xml:space="preserve"> does not permit the Commission to impose a voluntariness requirement for the RTO Adder</w:t>
      </w:r>
      <w:r w:rsidR="00F7058D">
        <w:t>.</w:t>
      </w:r>
      <w:r w:rsidR="00F7058D">
        <w:rPr>
          <w:rStyle w:val="FootnoteReference"/>
        </w:rPr>
        <w:footnoteReference w:id="19"/>
      </w:r>
    </w:p>
    <w:p w14:paraId="37CBFF18" w14:textId="77777777" w:rsidR="00F26605" w:rsidRDefault="002928E9" w:rsidP="00C87E7F">
      <w:pPr>
        <w:pStyle w:val="Heading1"/>
      </w:pPr>
      <w:r>
        <w:t>Discussion</w:t>
      </w:r>
    </w:p>
    <w:p w14:paraId="28061376" w14:textId="77777777" w:rsidR="001737E9" w:rsidRDefault="001A7A13" w:rsidP="0038560D">
      <w:pPr>
        <w:pStyle w:val="FERCparanumber"/>
        <w:spacing w:after="240"/>
      </w:pPr>
      <w:r>
        <w:t>California IOUs</w:t>
      </w:r>
      <w:r w:rsidR="00ED4FD1">
        <w:t xml:space="preserve"> challenge on rehearing the Commission’s rejection of </w:t>
      </w:r>
      <w:r w:rsidR="00F7058D">
        <w:t>SDG&amp;E’s</w:t>
      </w:r>
      <w:r w:rsidR="00ED4FD1">
        <w:t xml:space="preserve"> proposed RTO Adder.</w:t>
      </w:r>
      <w:r w:rsidR="00F7058D">
        <w:t xml:space="preserve">  </w:t>
      </w:r>
      <w:r>
        <w:t>California IOUs</w:t>
      </w:r>
      <w:r w:rsidR="00F7058D">
        <w:t xml:space="preserve"> argue broadly that the Commission erred in</w:t>
      </w:r>
      <w:r w:rsidR="00230108">
        <w:t xml:space="preserve">: </w:t>
      </w:r>
      <w:r w:rsidR="00F7058D">
        <w:t xml:space="preserve"> </w:t>
      </w:r>
      <w:proofErr w:type="gramStart"/>
      <w:r w:rsidR="00BA3CB2">
        <w:t xml:space="preserve">   </w:t>
      </w:r>
      <w:r w:rsidR="00F7058D">
        <w:t>(</w:t>
      </w:r>
      <w:proofErr w:type="gramEnd"/>
      <w:r w:rsidR="00F7058D">
        <w:t xml:space="preserve">1) finding SDG&amp;E’s participation in </w:t>
      </w:r>
      <w:r w:rsidR="001737E9">
        <w:t>CAISO involuntary under California state law</w:t>
      </w:r>
      <w:r w:rsidR="00772265">
        <w:t>;</w:t>
      </w:r>
      <w:r w:rsidR="001737E9">
        <w:t xml:space="preserve"> (2) declining to address preemption</w:t>
      </w:r>
      <w:r w:rsidR="00772265">
        <w:t>;</w:t>
      </w:r>
      <w:r w:rsidR="001737E9">
        <w:t xml:space="preserve"> (3) contravening FPA section 219(c) in imposing a voluntariness requirement for the RTO Adder</w:t>
      </w:r>
      <w:r w:rsidR="00772265">
        <w:t>;</w:t>
      </w:r>
      <w:r w:rsidR="001737E9">
        <w:t xml:space="preserve"> and (4) unduly discriminating against SDG&amp;E compared to similarly situated utilities that remain eligible for the RTO Adder.</w:t>
      </w:r>
      <w:r w:rsidR="0038560D">
        <w:t xml:space="preserve">  </w:t>
      </w:r>
      <w:r w:rsidR="001737E9">
        <w:t xml:space="preserve">As explained below, we continue to find that </w:t>
      </w:r>
      <w:r w:rsidR="0038560D">
        <w:t>SDG&amp;E’s participation in CAISO is involuntary under California state law, and that SDG&amp;E is therefore not eligible for the RTO Adder.</w:t>
      </w:r>
    </w:p>
    <w:p w14:paraId="0C25643F" w14:textId="77777777" w:rsidR="003B1B79" w:rsidRDefault="004F5786" w:rsidP="005C5320">
      <w:pPr>
        <w:pStyle w:val="Heading2"/>
      </w:pPr>
      <w:r>
        <w:t>Whether SDG&amp;E’s Participation in CAISO Is Voluntary Under California State Law</w:t>
      </w:r>
    </w:p>
    <w:p w14:paraId="11837837" w14:textId="77777777" w:rsidR="004F5786" w:rsidRDefault="004F5786" w:rsidP="005C5320">
      <w:pPr>
        <w:pStyle w:val="Heading3"/>
      </w:pPr>
      <w:r>
        <w:t>Rehearing Request</w:t>
      </w:r>
    </w:p>
    <w:p w14:paraId="7BA799B6" w14:textId="77777777" w:rsidR="00726429" w:rsidRPr="008E13E3" w:rsidRDefault="001A7A13" w:rsidP="00726429">
      <w:pPr>
        <w:pStyle w:val="FERCparanumber"/>
      </w:pPr>
      <w:r>
        <w:t>California IOUs</w:t>
      </w:r>
      <w:r w:rsidR="00BA4499">
        <w:t xml:space="preserve"> argue that the Commission has </w:t>
      </w:r>
      <w:r w:rsidR="006D58B2">
        <w:t>varied in its interpretation of California Public Utilities Code section 362(c).</w:t>
      </w:r>
      <w:r w:rsidR="00600362">
        <w:t xml:space="preserve">  </w:t>
      </w:r>
      <w:r>
        <w:t>California IOUs</w:t>
      </w:r>
      <w:r w:rsidR="00600362">
        <w:t xml:space="preserve"> state that</w:t>
      </w:r>
      <w:r w:rsidR="00BB2ADA">
        <w:t>,</w:t>
      </w:r>
      <w:r w:rsidR="00600362">
        <w:t xml:space="preserve"> in the </w:t>
      </w:r>
      <w:r w:rsidR="004C3B1B">
        <w:t>PG&amp;E Adder Order</w:t>
      </w:r>
      <w:r w:rsidR="00244B77">
        <w:t xml:space="preserve">, the Commission found that section 362 “does mandate participation and does not permit PG&amp;E to withdraw from CAISO </w:t>
      </w:r>
      <w:r w:rsidR="00244B77">
        <w:rPr>
          <w:i/>
          <w:iCs/>
        </w:rPr>
        <w:t>without CPUC approval</w:t>
      </w:r>
      <w:r w:rsidR="00244B77">
        <w:t>.</w:t>
      </w:r>
      <w:r w:rsidR="00D26939">
        <w:t>”</w:t>
      </w:r>
      <w:r w:rsidR="00D26939">
        <w:rPr>
          <w:rStyle w:val="FootnoteReference"/>
        </w:rPr>
        <w:footnoteReference w:id="20"/>
      </w:r>
      <w:r w:rsidR="00D26939">
        <w:t xml:space="preserve">  </w:t>
      </w:r>
      <w:r>
        <w:t>California IOUs</w:t>
      </w:r>
      <w:r w:rsidR="00D26939">
        <w:t xml:space="preserve"> explain that</w:t>
      </w:r>
      <w:r w:rsidR="002A050C">
        <w:t>,</w:t>
      </w:r>
      <w:r w:rsidR="00D26939">
        <w:t xml:space="preserve"> in the </w:t>
      </w:r>
      <w:r w:rsidR="004C3B1B">
        <w:t>PG&amp;E Adder Rehearing Order</w:t>
      </w:r>
      <w:r w:rsidR="00D26939">
        <w:t xml:space="preserve">, the Commission clarified </w:t>
      </w:r>
      <w:r w:rsidR="00431655">
        <w:t xml:space="preserve">that it </w:t>
      </w:r>
      <w:r w:rsidR="00431655">
        <w:lastRenderedPageBreak/>
        <w:t xml:space="preserve">interprets </w:t>
      </w:r>
      <w:r w:rsidR="00431655" w:rsidRPr="008E13E3">
        <w:t xml:space="preserve">section 362(c) as requiring PG&amp;E’s participation in CAISO, without any ability to seek </w:t>
      </w:r>
      <w:r w:rsidR="00093DBF" w:rsidRPr="008E13E3">
        <w:t xml:space="preserve">the </w:t>
      </w:r>
      <w:r w:rsidR="00431655" w:rsidRPr="008E13E3">
        <w:t>CPUC’s approval to withdraw.</w:t>
      </w:r>
      <w:r w:rsidR="00431655" w:rsidRPr="008E13E3">
        <w:rPr>
          <w:rStyle w:val="FootnoteReference"/>
        </w:rPr>
        <w:footnoteReference w:id="21"/>
      </w:r>
      <w:r w:rsidR="00335563" w:rsidRPr="008E13E3">
        <w:t xml:space="preserve">  </w:t>
      </w:r>
    </w:p>
    <w:p w14:paraId="67C0E31C" w14:textId="77777777" w:rsidR="00BA3685" w:rsidRPr="008E13E3" w:rsidRDefault="001A7A13" w:rsidP="00EA367D">
      <w:pPr>
        <w:pStyle w:val="FERCparanumber"/>
      </w:pPr>
      <w:r w:rsidRPr="008E13E3">
        <w:t>California IOUs</w:t>
      </w:r>
      <w:r w:rsidR="00862841" w:rsidRPr="008E13E3">
        <w:t xml:space="preserve"> argue that, in the </w:t>
      </w:r>
      <w:r w:rsidR="00484E8B" w:rsidRPr="008E13E3">
        <w:t>Formula Rate</w:t>
      </w:r>
      <w:r w:rsidR="0019098E" w:rsidRPr="008E13E3">
        <w:t xml:space="preserve"> Order</w:t>
      </w:r>
      <w:r w:rsidR="00862841" w:rsidRPr="008E13E3">
        <w:t>, the Commission correctly held</w:t>
      </w:r>
      <w:r w:rsidR="007772AD" w:rsidRPr="008E13E3">
        <w:t xml:space="preserve">, like in the </w:t>
      </w:r>
      <w:r w:rsidR="004C3B1B" w:rsidRPr="008E13E3">
        <w:t>PG&amp;E Adder Order</w:t>
      </w:r>
      <w:r w:rsidR="007772AD" w:rsidRPr="008E13E3">
        <w:t>,</w:t>
      </w:r>
      <w:r w:rsidR="00862841" w:rsidRPr="008E13E3">
        <w:t xml:space="preserve"> that SDG&amp;E may withdraw from CAISO with CPUC approval.</w:t>
      </w:r>
      <w:r w:rsidR="00862841" w:rsidRPr="008E13E3">
        <w:rPr>
          <w:rStyle w:val="FootnoteReference"/>
        </w:rPr>
        <w:footnoteReference w:id="22"/>
      </w:r>
      <w:r w:rsidR="00862841" w:rsidRPr="008E13E3">
        <w:t xml:space="preserve">  </w:t>
      </w:r>
      <w:r w:rsidR="00DD6D89" w:rsidRPr="008E13E3">
        <w:t>They argue that the Commission erred, however, in concluding that this renders SDG&amp;E’s participation in CAISO no longer voluntary.</w:t>
      </w:r>
      <w:r w:rsidR="00DD6D89" w:rsidRPr="008E13E3">
        <w:rPr>
          <w:rStyle w:val="FootnoteReference"/>
        </w:rPr>
        <w:footnoteReference w:id="23"/>
      </w:r>
      <w:r w:rsidR="00DD6D89" w:rsidRPr="008E13E3">
        <w:t xml:space="preserve">  </w:t>
      </w:r>
      <w:r w:rsidRPr="008E13E3">
        <w:t>California IOUs</w:t>
      </w:r>
      <w:r w:rsidR="00C91AEB" w:rsidRPr="008E13E3">
        <w:t xml:space="preserve"> state that, while virtually everything a regulated utility does is subject to regulatory approval, the utility still makes voluntary choices whether to seek such approval.</w:t>
      </w:r>
      <w:r w:rsidR="00C91AEB" w:rsidRPr="008E13E3">
        <w:rPr>
          <w:rStyle w:val="FootnoteReference"/>
        </w:rPr>
        <w:footnoteReference w:id="24"/>
      </w:r>
      <w:r w:rsidR="00C91AEB" w:rsidRPr="008E13E3">
        <w:t xml:space="preserve">  </w:t>
      </w:r>
      <w:r w:rsidRPr="008E13E3">
        <w:t>California IOUs</w:t>
      </w:r>
      <w:r w:rsidR="001023B0" w:rsidRPr="008E13E3">
        <w:t xml:space="preserve"> assert that the Commission itself has required utilities to obtain Commission approval before they can withdraw from an RTO, but the Commission has found that approval prerequisite consistent with the federal law requirement that RTO membership must be “voluntary.”</w:t>
      </w:r>
      <w:r w:rsidR="001023B0" w:rsidRPr="008E13E3">
        <w:rPr>
          <w:b/>
          <w:vertAlign w:val="superscript"/>
        </w:rPr>
        <w:footnoteReference w:id="25"/>
      </w:r>
      <w:r w:rsidR="0072795F" w:rsidRPr="008E13E3">
        <w:t xml:space="preserve">  </w:t>
      </w:r>
      <w:r w:rsidRPr="008E13E3">
        <w:t>California IOUs</w:t>
      </w:r>
      <w:r w:rsidR="00EA367D" w:rsidRPr="008E13E3">
        <w:t xml:space="preserve"> further argue that </w:t>
      </w:r>
      <w:r w:rsidR="00A14624" w:rsidRPr="008E13E3">
        <w:t xml:space="preserve">the </w:t>
      </w:r>
      <w:r w:rsidR="00EA367D" w:rsidRPr="008E13E3">
        <w:t>CPUC’s review of withdrawal decisions is confined to whether the withdrawal is “adverse to the public interest.”</w:t>
      </w:r>
      <w:r w:rsidR="00EA367D" w:rsidRPr="008E13E3">
        <w:rPr>
          <w:rStyle w:val="FootnoteReference"/>
        </w:rPr>
        <w:footnoteReference w:id="26"/>
      </w:r>
      <w:r w:rsidR="00EA367D" w:rsidRPr="008E13E3">
        <w:t xml:space="preserve"> </w:t>
      </w:r>
    </w:p>
    <w:p w14:paraId="6DD59D15" w14:textId="77777777" w:rsidR="00AD7F3F" w:rsidRPr="008E13E3" w:rsidRDefault="001A7A13" w:rsidP="00EA367D">
      <w:pPr>
        <w:pStyle w:val="FERCparanumber"/>
      </w:pPr>
      <w:r w:rsidRPr="008E13E3">
        <w:t>California IOUs</w:t>
      </w:r>
      <w:r w:rsidR="00AD7F3F" w:rsidRPr="008E13E3">
        <w:t xml:space="preserve"> argue that the Commission cannot rely on the Ninth Circuit’s reference to </w:t>
      </w:r>
      <w:r w:rsidR="007B62E9" w:rsidRPr="008E13E3">
        <w:t xml:space="preserve">“whether [PG&amp;E] could unilaterally leave” CAISO in </w:t>
      </w:r>
      <w:r w:rsidR="00455755" w:rsidRPr="008E13E3">
        <w:rPr>
          <w:i/>
          <w:iCs/>
        </w:rPr>
        <w:t>California Public Utilities Commission v. FERC</w:t>
      </w:r>
      <w:r w:rsidR="003473E6" w:rsidRPr="008E13E3">
        <w:rPr>
          <w:rStyle w:val="FootnoteReference"/>
        </w:rPr>
        <w:footnoteReference w:id="27"/>
      </w:r>
      <w:r w:rsidR="00C374BE" w:rsidRPr="008E13E3">
        <w:t xml:space="preserve"> to find that SDG&amp;E’s membership in CAISO is </w:t>
      </w:r>
      <w:r w:rsidR="00C374BE" w:rsidRPr="008E13E3">
        <w:lastRenderedPageBreak/>
        <w:t>involuntary.</w:t>
      </w:r>
      <w:r w:rsidR="00C374BE" w:rsidRPr="008E13E3">
        <w:rPr>
          <w:rStyle w:val="FootnoteReference"/>
        </w:rPr>
        <w:footnoteReference w:id="28"/>
      </w:r>
      <w:r w:rsidR="00E33B57" w:rsidRPr="008E13E3">
        <w:t xml:space="preserve">  </w:t>
      </w:r>
      <w:r w:rsidRPr="008E13E3">
        <w:t>California IOUs</w:t>
      </w:r>
      <w:r w:rsidR="00E33B57" w:rsidRPr="008E13E3">
        <w:t xml:space="preserve"> argue that the full remand directive </w:t>
      </w:r>
      <w:r w:rsidR="006005EB" w:rsidRPr="008E13E3">
        <w:t xml:space="preserve">in </w:t>
      </w:r>
      <w:r w:rsidR="006005EB" w:rsidRPr="008E13E3">
        <w:rPr>
          <w:i/>
          <w:iCs/>
        </w:rPr>
        <w:t>CPUC I</w:t>
      </w:r>
      <w:r w:rsidR="00E33B57" w:rsidRPr="008E13E3">
        <w:t xml:space="preserve"> was for the Commission to “inquire into PG&amp;E’s specific circumstances, </w:t>
      </w:r>
      <w:r w:rsidR="00E33B57" w:rsidRPr="008E13E3">
        <w:rPr>
          <w:i/>
          <w:iCs/>
        </w:rPr>
        <w:t>i.e.</w:t>
      </w:r>
      <w:r w:rsidR="00E33B57" w:rsidRPr="008E13E3">
        <w:t>, whether it could unilaterally leave [CAISO] and thus whether an incentive adder could induce it to remain in [CAISO].”</w:t>
      </w:r>
      <w:r w:rsidR="00E33B57" w:rsidRPr="008E13E3">
        <w:rPr>
          <w:rStyle w:val="FootnoteReference"/>
        </w:rPr>
        <w:footnoteReference w:id="29"/>
      </w:r>
      <w:r w:rsidR="00247350" w:rsidRPr="008E13E3">
        <w:t xml:space="preserve">  According to </w:t>
      </w:r>
      <w:r w:rsidRPr="008E13E3">
        <w:t>California IOUs</w:t>
      </w:r>
      <w:r w:rsidR="00247350" w:rsidRPr="008E13E3">
        <w:t xml:space="preserve">, unilateral withdrawal was just one example of what the Commission should consider, and the Ninth Circuit </w:t>
      </w:r>
      <w:r w:rsidR="00382925" w:rsidRPr="008E13E3">
        <w:t>did not</w:t>
      </w:r>
      <w:r w:rsidR="00247350" w:rsidRPr="008E13E3">
        <w:t xml:space="preserve"> address preemption, FPA section 219, or the Commission’s longstanding prece</w:t>
      </w:r>
      <w:r w:rsidR="006D2C65" w:rsidRPr="008E13E3">
        <w:t>dent that the need for Commission approval to withdraw from an RTO was consistent with voluntary participation.</w:t>
      </w:r>
      <w:r w:rsidR="006D2C65" w:rsidRPr="008E13E3">
        <w:rPr>
          <w:rStyle w:val="FootnoteReference"/>
        </w:rPr>
        <w:footnoteReference w:id="30"/>
      </w:r>
    </w:p>
    <w:p w14:paraId="36F82EC2" w14:textId="77777777" w:rsidR="00EE4FDC" w:rsidRPr="008E13E3" w:rsidRDefault="001A7A13" w:rsidP="00EA367D">
      <w:pPr>
        <w:pStyle w:val="FERCparanumber"/>
      </w:pPr>
      <w:r w:rsidRPr="008E13E3">
        <w:t>California IOUs</w:t>
      </w:r>
      <w:r w:rsidR="002E7FE2" w:rsidRPr="008E13E3">
        <w:t xml:space="preserve"> argue that </w:t>
      </w:r>
      <w:r w:rsidR="00637CE4" w:rsidRPr="008E13E3">
        <w:t xml:space="preserve">the Commission’s </w:t>
      </w:r>
      <w:r w:rsidR="003A386B" w:rsidRPr="008E13E3">
        <w:t>contrary</w:t>
      </w:r>
      <w:r w:rsidR="00637CE4" w:rsidRPr="008E13E3">
        <w:t xml:space="preserve"> position in the </w:t>
      </w:r>
      <w:r w:rsidR="004C3B1B" w:rsidRPr="008E13E3">
        <w:t>PG&amp;E Adder Rehearing Order</w:t>
      </w:r>
      <w:r w:rsidR="00637CE4" w:rsidRPr="008E13E3">
        <w:t xml:space="preserve"> that the </w:t>
      </w:r>
      <w:r w:rsidRPr="008E13E3">
        <w:t>California IOUs</w:t>
      </w:r>
      <w:r w:rsidR="00637CE4" w:rsidRPr="008E13E3">
        <w:t xml:space="preserve"> cannot withdraw from CAISO even with CPUC approval is inconsistent with section 362(c).</w:t>
      </w:r>
      <w:r w:rsidR="00DA0A3C" w:rsidRPr="008E13E3">
        <w:rPr>
          <w:rStyle w:val="FootnoteReference"/>
        </w:rPr>
        <w:footnoteReference w:id="31"/>
      </w:r>
      <w:r w:rsidR="00637CE4" w:rsidRPr="008E13E3">
        <w:t xml:space="preserve">  </w:t>
      </w:r>
      <w:r w:rsidR="00522389" w:rsidRPr="008E13E3">
        <w:t>This section</w:t>
      </w:r>
      <w:r w:rsidR="006E0412" w:rsidRPr="008E13E3">
        <w:t xml:space="preserve"> provides:</w:t>
      </w:r>
    </w:p>
    <w:p w14:paraId="6A269354" w14:textId="77777777" w:rsidR="006E0412" w:rsidRPr="008E13E3" w:rsidRDefault="00876667" w:rsidP="00876667">
      <w:pPr>
        <w:pStyle w:val="BlockIndent"/>
      </w:pPr>
      <w:r w:rsidRPr="008E13E3">
        <w:t>Consistent with Section</w:t>
      </w:r>
      <w:r w:rsidR="00B74AE8" w:rsidRPr="008E13E3">
        <w:t xml:space="preserve"> </w:t>
      </w:r>
      <w:r w:rsidRPr="008E13E3">
        <w:t>851</w:t>
      </w:r>
      <w:r w:rsidR="00B74AE8" w:rsidRPr="008E13E3">
        <w:t xml:space="preserve"> </w:t>
      </w:r>
      <w:r w:rsidRPr="008E13E3">
        <w:t>and the commission</w:t>
      </w:r>
      <w:r w:rsidR="00B74AE8" w:rsidRPr="008E13E3">
        <w:t>’</w:t>
      </w:r>
      <w:r w:rsidRPr="008E13E3">
        <w:t xml:space="preserve">s regulation of transfers of operational control of electrical corporation facilities, an electrical corporation subject to </w:t>
      </w:r>
      <w:r w:rsidR="002A6CDA" w:rsidRPr="008E13E3">
        <w:t xml:space="preserve">[the Transfer </w:t>
      </w:r>
      <w:r w:rsidR="008B1604" w:rsidRPr="008E13E3">
        <w:t>Order</w:t>
      </w:r>
      <w:r w:rsidR="004301D8" w:rsidRPr="008E13E3">
        <w:t>]</w:t>
      </w:r>
      <w:r w:rsidR="00EE7591" w:rsidRPr="008E13E3">
        <w:t>,</w:t>
      </w:r>
      <w:r w:rsidR="004301D8" w:rsidRPr="008E13E3">
        <w:rPr>
          <w:rStyle w:val="FootnoteReference"/>
        </w:rPr>
        <w:footnoteReference w:id="32"/>
      </w:r>
      <w:r w:rsidR="00EE7591" w:rsidRPr="008E13E3">
        <w:t xml:space="preserve"> </w:t>
      </w:r>
      <w:r w:rsidRPr="008E13E3">
        <w:t xml:space="preserve">shall participate in </w:t>
      </w:r>
      <w:r w:rsidR="00BE1658" w:rsidRPr="008E13E3">
        <w:t>[CAISO].</w:t>
      </w:r>
      <w:r w:rsidRPr="008E13E3">
        <w:rPr>
          <w:rStyle w:val="FootnoteReference"/>
        </w:rPr>
        <w:footnoteReference w:id="33"/>
      </w:r>
    </w:p>
    <w:p w14:paraId="64EEE8F6" w14:textId="77777777" w:rsidR="00EF0BCA" w:rsidRPr="008E13E3" w:rsidRDefault="0060143E" w:rsidP="00AC0E90">
      <w:pPr>
        <w:pStyle w:val="FERCparanumber"/>
        <w:numPr>
          <w:ilvl w:val="0"/>
          <w:numId w:val="0"/>
        </w:numPr>
      </w:pPr>
      <w:r w:rsidRPr="008E13E3">
        <w:t>California Utilities Code s</w:t>
      </w:r>
      <w:r w:rsidR="003B6A37" w:rsidRPr="008E13E3">
        <w:t>ection 851 provides</w:t>
      </w:r>
      <w:r w:rsidR="00076571" w:rsidRPr="008E13E3">
        <w:t xml:space="preserve"> that a utility “shall not sell, lease, assign, mortgage, or otherwise dispose of” covered property “without first having [received] an order from the [CPUC] authorizing it to do so.”</w:t>
      </w:r>
      <w:r w:rsidR="00C125F8" w:rsidRPr="008E13E3">
        <w:rPr>
          <w:rStyle w:val="FootnoteReference"/>
        </w:rPr>
        <w:footnoteReference w:id="34"/>
      </w:r>
      <w:r w:rsidR="00F55A63" w:rsidRPr="008E13E3">
        <w:t xml:space="preserve">  </w:t>
      </w:r>
      <w:r w:rsidR="001A7A13" w:rsidRPr="008E13E3">
        <w:t>California IOUs</w:t>
      </w:r>
      <w:r w:rsidR="00536580" w:rsidRPr="008E13E3">
        <w:t xml:space="preserve"> argue that, because section 851 permits withdrawals with </w:t>
      </w:r>
      <w:r w:rsidR="00321835" w:rsidRPr="008E13E3">
        <w:t xml:space="preserve">the </w:t>
      </w:r>
      <w:r w:rsidR="00536580" w:rsidRPr="008E13E3">
        <w:t xml:space="preserve">CPUC’s permission, </w:t>
      </w:r>
      <w:r w:rsidR="00535912" w:rsidRPr="008E13E3">
        <w:t xml:space="preserve">the Commission erred by reading section 362(c) to </w:t>
      </w:r>
      <w:r w:rsidR="0029620F" w:rsidRPr="008E13E3">
        <w:t>eliminate</w:t>
      </w:r>
      <w:r w:rsidR="00321835" w:rsidRPr="008E13E3">
        <w:t xml:space="preserve"> the</w:t>
      </w:r>
      <w:r w:rsidR="00535912" w:rsidRPr="008E13E3">
        <w:t xml:space="preserve"> CPUC’s power to permit such withdrawals.</w:t>
      </w:r>
      <w:r w:rsidR="00535912" w:rsidRPr="008E13E3">
        <w:rPr>
          <w:rStyle w:val="FootnoteReference"/>
        </w:rPr>
        <w:footnoteReference w:id="35"/>
      </w:r>
      <w:r w:rsidR="00535912" w:rsidRPr="008E13E3">
        <w:t xml:space="preserve">  </w:t>
      </w:r>
    </w:p>
    <w:p w14:paraId="3C6C1157" w14:textId="77777777" w:rsidR="00F55A63" w:rsidRPr="008E13E3" w:rsidRDefault="001A7A13" w:rsidP="00D35B84">
      <w:pPr>
        <w:pStyle w:val="FERCparanumber"/>
      </w:pPr>
      <w:r w:rsidRPr="008E13E3">
        <w:t>California IOUs</w:t>
      </w:r>
      <w:r w:rsidR="00067071" w:rsidRPr="008E13E3">
        <w:t xml:space="preserve"> assert that, in the Formula Rate Order, the Commission cherry-picked two words from section 362(c)—that covered utilities “shall participate” in CAISO</w:t>
      </w:r>
      <w:r w:rsidR="008072B2" w:rsidRPr="008E13E3">
        <w:t>—</w:t>
      </w:r>
      <w:r w:rsidR="00067071" w:rsidRPr="008E13E3">
        <w:t xml:space="preserve">but argue that this phrase does not establish that </w:t>
      </w:r>
      <w:r w:rsidRPr="008E13E3">
        <w:t>California IOUs</w:t>
      </w:r>
      <w:r w:rsidR="00067071" w:rsidRPr="008E13E3">
        <w:t xml:space="preserve"> must </w:t>
      </w:r>
      <w:r w:rsidR="00067071" w:rsidRPr="008E13E3">
        <w:lastRenderedPageBreak/>
        <w:t xml:space="preserve">participate and never leave, even with permission.  </w:t>
      </w:r>
      <w:r w:rsidRPr="008E13E3">
        <w:t>California IOUs</w:t>
      </w:r>
      <w:r w:rsidR="00067071" w:rsidRPr="008E13E3">
        <w:t xml:space="preserve"> argue that the Commission’s reading disregards section 362(c)’s initial clause, which provides that </w:t>
      </w:r>
      <w:r w:rsidRPr="008E13E3">
        <w:t>California IOUs</w:t>
      </w:r>
      <w:r w:rsidR="00067071" w:rsidRPr="008E13E3">
        <w:t>’ participation must be “</w:t>
      </w:r>
      <w:r w:rsidR="00067071" w:rsidRPr="008E13E3">
        <w:rPr>
          <w:i/>
        </w:rPr>
        <w:t>[c]</w:t>
      </w:r>
      <w:proofErr w:type="spellStart"/>
      <w:r w:rsidR="00067071" w:rsidRPr="008E13E3">
        <w:rPr>
          <w:i/>
        </w:rPr>
        <w:t>onsistent</w:t>
      </w:r>
      <w:proofErr w:type="spellEnd"/>
      <w:r w:rsidR="00067071" w:rsidRPr="008E13E3">
        <w:rPr>
          <w:i/>
        </w:rPr>
        <w:t xml:space="preserve"> with</w:t>
      </w:r>
      <w:r w:rsidR="00067071" w:rsidRPr="008E13E3">
        <w:t xml:space="preserve"> Section 851 and </w:t>
      </w:r>
      <w:r w:rsidR="00321835" w:rsidRPr="008E13E3">
        <w:t xml:space="preserve">the </w:t>
      </w:r>
      <w:r w:rsidR="00067071" w:rsidRPr="008E13E3">
        <w:t>[CPUC’s] regulation of transfers of operational control.”</w:t>
      </w:r>
      <w:r w:rsidR="00067071" w:rsidRPr="008E13E3">
        <w:rPr>
          <w:rStyle w:val="FootnoteReference"/>
        </w:rPr>
        <w:footnoteReference w:id="36"/>
      </w:r>
      <w:r w:rsidR="00067071" w:rsidRPr="008E13E3">
        <w:t xml:space="preserve">  </w:t>
      </w:r>
      <w:r w:rsidRPr="008E13E3">
        <w:t>California IOUs</w:t>
      </w:r>
      <w:r w:rsidR="00067071" w:rsidRPr="008E13E3">
        <w:t xml:space="preserve"> assert that section 851 permits withdrawal with CPUC approval.  </w:t>
      </w:r>
      <w:r w:rsidRPr="008E13E3">
        <w:t>California IOUs</w:t>
      </w:r>
      <w:r w:rsidR="00067071" w:rsidRPr="008E13E3">
        <w:t xml:space="preserve"> state that section 362(c) also invokes </w:t>
      </w:r>
      <w:r w:rsidR="00321835" w:rsidRPr="008E13E3">
        <w:t xml:space="preserve">the </w:t>
      </w:r>
      <w:r w:rsidR="00067071" w:rsidRPr="008E13E3">
        <w:t xml:space="preserve">CPUC’s decision </w:t>
      </w:r>
      <w:r w:rsidR="00902AF2" w:rsidRPr="008E13E3">
        <w:t>in the Transfer Order</w:t>
      </w:r>
      <w:r w:rsidR="00067071" w:rsidRPr="008E13E3">
        <w:t xml:space="preserve"> that </w:t>
      </w:r>
      <w:r w:rsidR="00321835" w:rsidRPr="008E13E3">
        <w:t xml:space="preserve">the </w:t>
      </w:r>
      <w:r w:rsidR="00067071" w:rsidRPr="008E13E3">
        <w:t>CPUC could approve withdrawal: “‘[A]</w:t>
      </w:r>
      <w:proofErr w:type="spellStart"/>
      <w:r w:rsidR="00067071" w:rsidRPr="008E13E3">
        <w:t>ny</w:t>
      </w:r>
      <w:proofErr w:type="spellEnd"/>
      <w:r w:rsidR="00067071" w:rsidRPr="008E13E3">
        <w:t xml:space="preserve"> future transfer of operational control . . . will, itself, be subject to review under </w:t>
      </w:r>
      <w:r w:rsidR="00E25E82" w:rsidRPr="008E13E3">
        <w:t>[California Public Utilities]</w:t>
      </w:r>
      <w:r w:rsidR="00067071" w:rsidRPr="008E13E3">
        <w:t xml:space="preserve"> Code Section 851.’”</w:t>
      </w:r>
      <w:r w:rsidR="00067071" w:rsidRPr="008E13E3">
        <w:rPr>
          <w:rStyle w:val="FootnoteReference"/>
        </w:rPr>
        <w:footnoteReference w:id="37"/>
      </w:r>
      <w:r w:rsidR="00067071" w:rsidRPr="008E13E3">
        <w:t xml:space="preserve">  </w:t>
      </w:r>
      <w:r w:rsidRPr="008E13E3">
        <w:t>California IOUs</w:t>
      </w:r>
      <w:r w:rsidR="00067071" w:rsidRPr="008E13E3">
        <w:t xml:space="preserve"> conclude that the legislature thus mandated that </w:t>
      </w:r>
      <w:r w:rsidRPr="008E13E3">
        <w:t>California IOUs</w:t>
      </w:r>
      <w:r w:rsidR="00067071" w:rsidRPr="008E13E3">
        <w:t xml:space="preserve"> “shall participate” “consistent with” </w:t>
      </w:r>
      <w:r w:rsidR="00321835" w:rsidRPr="008E13E3">
        <w:t xml:space="preserve">the </w:t>
      </w:r>
      <w:r w:rsidR="00067071" w:rsidRPr="008E13E3">
        <w:t xml:space="preserve">CPUC’s section 851 authority and with the Transfer Order, and that the “consistent with” phrase thus defines the conditions under which </w:t>
      </w:r>
      <w:r w:rsidRPr="008E13E3">
        <w:t>California IOUs</w:t>
      </w:r>
      <w:r w:rsidR="00067071" w:rsidRPr="008E13E3">
        <w:t xml:space="preserve"> “shall participate.”</w:t>
      </w:r>
      <w:r w:rsidR="00067071" w:rsidRPr="008E13E3">
        <w:rPr>
          <w:rStyle w:val="FootnoteReference"/>
        </w:rPr>
        <w:footnoteReference w:id="38"/>
      </w:r>
    </w:p>
    <w:p w14:paraId="18E206A2" w14:textId="77777777" w:rsidR="00DE3D31" w:rsidRPr="008E13E3" w:rsidRDefault="001A7A13" w:rsidP="006200CF">
      <w:pPr>
        <w:pStyle w:val="FERCparanumber"/>
      </w:pPr>
      <w:r w:rsidRPr="008E13E3">
        <w:t>California IOUs</w:t>
      </w:r>
      <w:r w:rsidR="00DE3D31" w:rsidRPr="008E13E3">
        <w:t xml:space="preserve"> further argue that the Commission’s reading of “shall participate” cannot be squared with section 362(d), which states that an “electrical corporation shall not withdraw a facility from the operational control of the Independent System Operator without [CPUC] approval pursuant to Section 851.”</w:t>
      </w:r>
      <w:r w:rsidR="00DE3D31" w:rsidRPr="008E13E3">
        <w:rPr>
          <w:b/>
          <w:vertAlign w:val="superscript"/>
        </w:rPr>
        <w:footnoteReference w:id="39"/>
      </w:r>
      <w:r w:rsidR="00DE3D31" w:rsidRPr="008E13E3">
        <w:t xml:space="preserve">  </w:t>
      </w:r>
      <w:r w:rsidRPr="008E13E3">
        <w:t>California IOUs</w:t>
      </w:r>
      <w:r w:rsidR="00DE3D31" w:rsidRPr="008E13E3">
        <w:t xml:space="preserve"> state that their reading of sections 362(c) and (d) work together harmoniously: </w:t>
      </w:r>
      <w:r w:rsidR="00D97CD2">
        <w:t xml:space="preserve"> </w:t>
      </w:r>
      <w:r w:rsidR="00DE3D31" w:rsidRPr="008E13E3">
        <w:t xml:space="preserve">(1) CPUC approval is needed for a utility to leave CAISO outright (section 362(c)); and (2) CPUC approval is also needed for a utility to take back operational control of even one facility, something that </w:t>
      </w:r>
      <w:r w:rsidRPr="008E13E3">
        <w:t>California IOUs</w:t>
      </w:r>
      <w:r w:rsidR="00DE3D31" w:rsidRPr="008E13E3">
        <w:t xml:space="preserve"> state the Transfer Order did not explicitly establish.  </w:t>
      </w:r>
      <w:r w:rsidRPr="008E13E3">
        <w:t>California IOUs</w:t>
      </w:r>
      <w:r w:rsidR="00DE3D31" w:rsidRPr="008E13E3">
        <w:t xml:space="preserve"> claim that the Commission’s reading of sections 362(c) and (d) does not make sense, because if section 362(d) would allow SDG&amp;E to withdraw each of its facilities individually from CAISO, then SDG&amp;E could not remain a CAISO member as a transmission owner consistent with CAISO’s governing agreements.  </w:t>
      </w:r>
      <w:r w:rsidRPr="008E13E3">
        <w:t>California IOUs</w:t>
      </w:r>
      <w:r w:rsidR="00DE3D31" w:rsidRPr="008E13E3">
        <w:t xml:space="preserve"> claim that the Commission’s reading of section 362(c) would prohibit SDG&amp;E from taking those steps, bringing these subsections into conflict.</w:t>
      </w:r>
      <w:r w:rsidR="00DE3D31" w:rsidRPr="008E13E3">
        <w:rPr>
          <w:b/>
          <w:vertAlign w:val="superscript"/>
        </w:rPr>
        <w:footnoteReference w:id="40"/>
      </w:r>
      <w:r w:rsidR="00DE3D31" w:rsidRPr="008E13E3">
        <w:t xml:space="preserve">  Finally, </w:t>
      </w:r>
      <w:r w:rsidRPr="008E13E3">
        <w:t>California IOUs</w:t>
      </w:r>
      <w:r w:rsidR="00DE3D31" w:rsidRPr="008E13E3">
        <w:t xml:space="preserve"> argue that it is not true that section 362(c) does not address withdrawal, as the Commission found in the PG&amp;E Adder Rehearing Order, because as noted above, section </w:t>
      </w:r>
      <w:r w:rsidR="00DE3D31" w:rsidRPr="008E13E3">
        <w:lastRenderedPageBreak/>
        <w:t xml:space="preserve">362(c) invokes section 851 and the Transfer Order, which confirm that </w:t>
      </w:r>
      <w:r w:rsidR="006170C1" w:rsidRPr="008E13E3">
        <w:t xml:space="preserve">the </w:t>
      </w:r>
      <w:r w:rsidR="00DE3D31" w:rsidRPr="008E13E3">
        <w:t>CPUC can authorize withdrawal.</w:t>
      </w:r>
      <w:r w:rsidR="00DE3D31" w:rsidRPr="008E13E3">
        <w:rPr>
          <w:b/>
          <w:vertAlign w:val="superscript"/>
        </w:rPr>
        <w:footnoteReference w:id="41"/>
      </w:r>
    </w:p>
    <w:p w14:paraId="32252807" w14:textId="77777777" w:rsidR="009F2C3D" w:rsidRPr="008E13E3" w:rsidRDefault="001A7A13" w:rsidP="009F2C3D">
      <w:pPr>
        <w:pStyle w:val="FERCparanumber"/>
      </w:pPr>
      <w:r w:rsidRPr="008E13E3">
        <w:t>California IOUs</w:t>
      </w:r>
      <w:r w:rsidR="007F3828" w:rsidRPr="008E13E3">
        <w:t xml:space="preserve"> argue </w:t>
      </w:r>
      <w:r w:rsidR="001F5F77" w:rsidRPr="008E13E3">
        <w:t xml:space="preserve">the </w:t>
      </w:r>
      <w:r w:rsidR="0083336D" w:rsidRPr="008E13E3">
        <w:t>preamble to AB 209 is not necessary to construe section 362(c), as preambles cannot overcome clear text.</w:t>
      </w:r>
      <w:r w:rsidR="0083336D" w:rsidRPr="008E13E3">
        <w:rPr>
          <w:rStyle w:val="FootnoteReference"/>
        </w:rPr>
        <w:footnoteReference w:id="42"/>
      </w:r>
      <w:r w:rsidR="0083336D" w:rsidRPr="008E13E3">
        <w:t xml:space="preserve">  </w:t>
      </w:r>
      <w:r w:rsidRPr="008E13E3">
        <w:t>California IOUs</w:t>
      </w:r>
      <w:r w:rsidR="0083336D" w:rsidRPr="008E13E3">
        <w:t xml:space="preserve"> argue that </w:t>
      </w:r>
      <w:r w:rsidR="00E2224A" w:rsidRPr="008E13E3">
        <w:t xml:space="preserve">to the extent preambles could overcome clear text, </w:t>
      </w:r>
      <w:r w:rsidR="0083336D" w:rsidRPr="008E13E3">
        <w:t>the preamble supports their reading.</w:t>
      </w:r>
      <w:r w:rsidR="007B4BEB" w:rsidRPr="008E13E3">
        <w:t xml:space="preserve">  </w:t>
      </w:r>
      <w:r w:rsidR="009F2C3D" w:rsidRPr="008E13E3">
        <w:t xml:space="preserve">First, </w:t>
      </w:r>
      <w:r w:rsidRPr="008E13E3">
        <w:t>California IOUs</w:t>
      </w:r>
      <w:r w:rsidR="0082353E" w:rsidRPr="008E13E3">
        <w:t xml:space="preserve"> argue that the statement in the preamble that a “transfer of control . . . is generally prohibited without approval by the [CPUC] pursuant to Section 851” confirms that </w:t>
      </w:r>
      <w:r w:rsidR="006170C1" w:rsidRPr="008E13E3">
        <w:t xml:space="preserve">the </w:t>
      </w:r>
      <w:r w:rsidR="0082353E" w:rsidRPr="008E13E3">
        <w:t xml:space="preserve">CPUC may authorize withdrawals in accordance with the Transfer </w:t>
      </w:r>
      <w:r w:rsidR="00127C66" w:rsidRPr="008E13E3">
        <w:t>Order</w:t>
      </w:r>
      <w:r w:rsidR="0082353E" w:rsidRPr="008E13E3">
        <w:t>.</w:t>
      </w:r>
      <w:r w:rsidR="0082353E" w:rsidRPr="008E13E3">
        <w:rPr>
          <w:rStyle w:val="FootnoteReference"/>
        </w:rPr>
        <w:footnoteReference w:id="43"/>
      </w:r>
      <w:r w:rsidR="00871D02" w:rsidRPr="008E13E3">
        <w:t xml:space="preserve">  </w:t>
      </w:r>
      <w:r w:rsidR="009F2C3D" w:rsidRPr="008E13E3">
        <w:t xml:space="preserve">Second, </w:t>
      </w:r>
      <w:r w:rsidRPr="008E13E3">
        <w:t>California IOUs</w:t>
      </w:r>
      <w:r w:rsidR="00ED50CF" w:rsidRPr="008E13E3">
        <w:t xml:space="preserve"> argue that the preamble states that AB 209’s revisions “do not constitute a change in, but are declaratory of, existing law established in the [Transfer </w:t>
      </w:r>
      <w:r w:rsidR="00127C66" w:rsidRPr="008E13E3">
        <w:t>Order</w:t>
      </w:r>
      <w:r w:rsidR="00ED50CF" w:rsidRPr="008E13E3">
        <w:t>]</w:t>
      </w:r>
      <w:r w:rsidR="00604A7A" w:rsidRPr="008E13E3">
        <w:t xml:space="preserve">,” evidencing the legislature’s intent that </w:t>
      </w:r>
      <w:r w:rsidR="006170C1" w:rsidRPr="008E13E3">
        <w:t xml:space="preserve">the </w:t>
      </w:r>
      <w:r w:rsidR="00604A7A" w:rsidRPr="008E13E3">
        <w:t xml:space="preserve">CPUC should retain the authority it had claimed in the Transfer </w:t>
      </w:r>
      <w:r w:rsidR="00127C66" w:rsidRPr="008E13E3">
        <w:t>Order</w:t>
      </w:r>
      <w:r w:rsidR="00604A7A" w:rsidRPr="008E13E3">
        <w:t xml:space="preserve"> to review withdrawal applications.</w:t>
      </w:r>
      <w:r w:rsidR="00604A7A" w:rsidRPr="008E13E3">
        <w:rPr>
          <w:rStyle w:val="FootnoteReference"/>
        </w:rPr>
        <w:footnoteReference w:id="44"/>
      </w:r>
      <w:r w:rsidR="000639B1" w:rsidRPr="008E13E3">
        <w:t xml:space="preserve">  </w:t>
      </w:r>
      <w:r w:rsidR="009F2C3D" w:rsidRPr="008E13E3">
        <w:t xml:space="preserve">Third, </w:t>
      </w:r>
      <w:r w:rsidRPr="008E13E3">
        <w:t>California IOUs</w:t>
      </w:r>
      <w:r w:rsidR="009F2C3D" w:rsidRPr="008E13E3">
        <w:t xml:space="preserve"> argue that the preamble’s statement that a “final order or decision of the [CPUC], such as [the Transfer </w:t>
      </w:r>
      <w:r w:rsidR="00127C66" w:rsidRPr="008E13E3">
        <w:t>Order</w:t>
      </w:r>
      <w:r w:rsidR="009F2C3D" w:rsidRPr="008E13E3">
        <w:t>], is conclusive in all collateral actions or proceedings</w:t>
      </w:r>
      <w:r w:rsidR="00253F51" w:rsidRPr="008E13E3">
        <w:t xml:space="preserve">” </w:t>
      </w:r>
      <w:r w:rsidR="00B23D6E" w:rsidRPr="008E13E3">
        <w:t xml:space="preserve">confirms that the legislature intended to reaffirm the Transfer </w:t>
      </w:r>
      <w:r w:rsidR="00127C66" w:rsidRPr="008E13E3">
        <w:t>Order</w:t>
      </w:r>
      <w:r w:rsidR="00B23D6E" w:rsidRPr="008E13E3">
        <w:t>.</w:t>
      </w:r>
      <w:r w:rsidR="00B23D6E" w:rsidRPr="008E13E3">
        <w:rPr>
          <w:rStyle w:val="FootnoteReference"/>
        </w:rPr>
        <w:footnoteReference w:id="45"/>
      </w:r>
    </w:p>
    <w:p w14:paraId="567D70B4" w14:textId="77777777" w:rsidR="00410613" w:rsidRPr="008E13E3" w:rsidRDefault="001A7A13" w:rsidP="007630CA">
      <w:pPr>
        <w:pStyle w:val="FERCparanumber"/>
      </w:pPr>
      <w:r w:rsidRPr="008E13E3">
        <w:t>California IOUs</w:t>
      </w:r>
      <w:r w:rsidR="000639B1" w:rsidRPr="008E13E3">
        <w:t xml:space="preserve"> argue that the </w:t>
      </w:r>
      <w:r w:rsidR="0013148E" w:rsidRPr="008E13E3">
        <w:t>statement in the preamble that “[</w:t>
      </w:r>
      <w:proofErr w:type="spellStart"/>
      <w:r w:rsidR="0013148E" w:rsidRPr="008E13E3">
        <w:t>i</w:t>
      </w:r>
      <w:proofErr w:type="spellEnd"/>
      <w:r w:rsidR="0013148E" w:rsidRPr="008E13E3">
        <w:t xml:space="preserve">]t is the intent of the Legislature to . . . </w:t>
      </w:r>
      <w:r w:rsidR="00610260" w:rsidRPr="008E13E3">
        <w:t xml:space="preserve">reaffirm that an electrical corporation currently participating in the Independent System Operator is not a voluntary participant” cannot </w:t>
      </w:r>
      <w:r w:rsidR="00203409" w:rsidRPr="008E13E3">
        <w:t>sustain the Commission’s interpretation.</w:t>
      </w:r>
      <w:r w:rsidR="00203409" w:rsidRPr="008E13E3">
        <w:rPr>
          <w:rStyle w:val="FootnoteReference"/>
        </w:rPr>
        <w:footnoteReference w:id="46"/>
      </w:r>
      <w:r w:rsidR="00203409" w:rsidRPr="008E13E3">
        <w:t xml:space="preserve">  </w:t>
      </w:r>
      <w:r w:rsidRPr="008E13E3">
        <w:t>California IOUs</w:t>
      </w:r>
      <w:r w:rsidR="00203409" w:rsidRPr="008E13E3">
        <w:t xml:space="preserve"> argue that, unlike </w:t>
      </w:r>
      <w:r w:rsidR="00DD613F" w:rsidRPr="008E13E3">
        <w:t>the three provisions described above,</w:t>
      </w:r>
      <w:r w:rsidR="00F3701D" w:rsidRPr="008E13E3">
        <w:t xml:space="preserve"> which reflect </w:t>
      </w:r>
      <w:r w:rsidR="00CA0C37" w:rsidRPr="008E13E3">
        <w:t>the</w:t>
      </w:r>
      <w:r w:rsidR="00F3701D" w:rsidRPr="008E13E3">
        <w:t xml:space="preserve"> legislature’s understanding of the substance of the statute,</w:t>
      </w:r>
      <w:r w:rsidR="00DD613F" w:rsidRPr="008E13E3">
        <w:t xml:space="preserve"> </w:t>
      </w:r>
      <w:r w:rsidR="000526BA" w:rsidRPr="008E13E3">
        <w:t>this statement reflects the legislature’s legal conclusions</w:t>
      </w:r>
      <w:r w:rsidR="00F3701D" w:rsidRPr="008E13E3">
        <w:t xml:space="preserve"> under federal law</w:t>
      </w:r>
      <w:r w:rsidR="00A52EED" w:rsidRPr="008E13E3">
        <w:t xml:space="preserve">, </w:t>
      </w:r>
      <w:r w:rsidR="007356A6" w:rsidRPr="008E13E3">
        <w:t>and the California legislature cannot dictate the answer to a question under federal law.</w:t>
      </w:r>
      <w:r w:rsidR="0083127B" w:rsidRPr="008E13E3">
        <w:rPr>
          <w:rStyle w:val="FootnoteReference"/>
        </w:rPr>
        <w:footnoteReference w:id="47"/>
      </w:r>
      <w:r w:rsidR="001B05E8" w:rsidRPr="008E13E3">
        <w:t xml:space="preserve">  </w:t>
      </w:r>
      <w:r w:rsidRPr="008E13E3">
        <w:t>California IOUs</w:t>
      </w:r>
      <w:r w:rsidR="001B05E8" w:rsidRPr="008E13E3">
        <w:t xml:space="preserve"> argue that </w:t>
      </w:r>
      <w:r w:rsidR="001B05E8" w:rsidRPr="008E13E3">
        <w:rPr>
          <w:i/>
        </w:rPr>
        <w:t>CPUC II</w:t>
      </w:r>
      <w:r w:rsidR="001B05E8" w:rsidRPr="008E13E3">
        <w:t xml:space="preserve"> confirms that </w:t>
      </w:r>
      <w:r w:rsidR="00987C8D" w:rsidRPr="008E13E3">
        <w:t xml:space="preserve">the legislature did not intend to prohibit </w:t>
      </w:r>
      <w:r w:rsidRPr="008E13E3">
        <w:t>California IOUs</w:t>
      </w:r>
      <w:r w:rsidR="00371621" w:rsidRPr="008E13E3">
        <w:t xml:space="preserve"> from leaving CAISO with CPUC permission.  </w:t>
      </w:r>
      <w:r w:rsidRPr="008E13E3">
        <w:t>California IOUs</w:t>
      </w:r>
      <w:r w:rsidR="00371621" w:rsidRPr="008E13E3">
        <w:t xml:space="preserve"> explain that</w:t>
      </w:r>
      <w:r w:rsidR="00F702C2" w:rsidRPr="008E13E3">
        <w:t>, i</w:t>
      </w:r>
      <w:r w:rsidR="00371621" w:rsidRPr="008E13E3">
        <w:t xml:space="preserve">n </w:t>
      </w:r>
      <w:r w:rsidR="00371621" w:rsidRPr="008E13E3">
        <w:rPr>
          <w:i/>
        </w:rPr>
        <w:t>CPUC II</w:t>
      </w:r>
      <w:r w:rsidR="00371621" w:rsidRPr="008E13E3">
        <w:t xml:space="preserve">, </w:t>
      </w:r>
      <w:r w:rsidR="006170C1" w:rsidRPr="008E13E3">
        <w:t xml:space="preserve">the </w:t>
      </w:r>
      <w:r w:rsidR="00371621" w:rsidRPr="008E13E3">
        <w:t xml:space="preserve">CPUC argued that PG&amp;E and SoCal Edison could withdraw only with approval under the Transfer </w:t>
      </w:r>
      <w:r w:rsidR="00127C66" w:rsidRPr="008E13E3">
        <w:t>Order</w:t>
      </w:r>
      <w:r w:rsidR="00371621" w:rsidRPr="008E13E3">
        <w:t xml:space="preserve">, and this was final and conclusive in </w:t>
      </w:r>
      <w:r w:rsidR="00371621" w:rsidRPr="008E13E3">
        <w:lastRenderedPageBreak/>
        <w:t>collateral actions.</w:t>
      </w:r>
      <w:r w:rsidR="00137500" w:rsidRPr="008E13E3">
        <w:rPr>
          <w:rStyle w:val="FootnoteReference"/>
        </w:rPr>
        <w:footnoteReference w:id="48"/>
      </w:r>
      <w:r w:rsidR="00371621" w:rsidRPr="008E13E3">
        <w:t xml:space="preserve">  </w:t>
      </w:r>
      <w:r w:rsidRPr="008E13E3">
        <w:t>California IOUs</w:t>
      </w:r>
      <w:r w:rsidR="00371621" w:rsidRPr="008E13E3">
        <w:t xml:space="preserve"> argue </w:t>
      </w:r>
      <w:r w:rsidR="00410613" w:rsidRPr="008E13E3">
        <w:t xml:space="preserve">that the preamble and text of AB 209 memorializes each aspect of </w:t>
      </w:r>
      <w:r w:rsidR="006170C1" w:rsidRPr="008E13E3">
        <w:t xml:space="preserve">the </w:t>
      </w:r>
      <w:r w:rsidR="00410613" w:rsidRPr="008E13E3">
        <w:t xml:space="preserve">CPUC’s unsuccessful position in </w:t>
      </w:r>
      <w:r w:rsidR="00410613" w:rsidRPr="008E13E3">
        <w:rPr>
          <w:i/>
        </w:rPr>
        <w:t>CPUC II</w:t>
      </w:r>
      <w:r w:rsidR="00410613" w:rsidRPr="008E13E3">
        <w:t>.</w:t>
      </w:r>
      <w:r w:rsidR="00485728" w:rsidRPr="008E13E3">
        <w:rPr>
          <w:rStyle w:val="FootnoteReference"/>
        </w:rPr>
        <w:footnoteReference w:id="49"/>
      </w:r>
      <w:r w:rsidR="00410613" w:rsidRPr="008E13E3">
        <w:t xml:space="preserve"> </w:t>
      </w:r>
      <w:r w:rsidR="00D50955" w:rsidRPr="008E13E3">
        <w:t xml:space="preserve"> </w:t>
      </w:r>
      <w:r w:rsidRPr="008E13E3">
        <w:t>California IOUs</w:t>
      </w:r>
      <w:r w:rsidR="0057376B" w:rsidRPr="008E13E3">
        <w:t xml:space="preserve"> also argue that their reading of section 362(c) is consistent with the arguments from protesting parties, including </w:t>
      </w:r>
      <w:r w:rsidR="006170C1" w:rsidRPr="008E13E3">
        <w:t xml:space="preserve">the </w:t>
      </w:r>
      <w:r w:rsidR="0057376B" w:rsidRPr="008E13E3">
        <w:t>CPUC.</w:t>
      </w:r>
      <w:r w:rsidR="00D6557C" w:rsidRPr="008E13E3">
        <w:rPr>
          <w:rStyle w:val="FootnoteReference"/>
        </w:rPr>
        <w:footnoteReference w:id="50"/>
      </w:r>
    </w:p>
    <w:p w14:paraId="25599344" w14:textId="77777777" w:rsidR="004F5786" w:rsidRPr="008E13E3" w:rsidRDefault="004F5786" w:rsidP="005C5320">
      <w:pPr>
        <w:pStyle w:val="Heading3"/>
      </w:pPr>
      <w:r w:rsidRPr="008E13E3">
        <w:t xml:space="preserve">Commission </w:t>
      </w:r>
      <w:r w:rsidR="00B21F60" w:rsidRPr="008E13E3">
        <w:t>D</w:t>
      </w:r>
      <w:r w:rsidRPr="008E13E3">
        <w:t>etermination</w:t>
      </w:r>
    </w:p>
    <w:p w14:paraId="7873646D" w14:textId="77777777" w:rsidR="008229F8" w:rsidRPr="008E13E3" w:rsidRDefault="008229F8" w:rsidP="008229F8">
      <w:pPr>
        <w:pStyle w:val="FERCparanumber"/>
      </w:pPr>
      <w:bookmarkStart w:id="1" w:name="_Ref194327892"/>
      <w:r w:rsidRPr="008E13E3">
        <w:t>We continue to find that SDG&amp;E’s participation in CAISO is not voluntary.  Section 362(c) of the California Public Utilities Code provides that, “[c]</w:t>
      </w:r>
      <w:proofErr w:type="spellStart"/>
      <w:r w:rsidRPr="008E13E3">
        <w:t>onsistent</w:t>
      </w:r>
      <w:proofErr w:type="spellEnd"/>
      <w:r w:rsidRPr="008E13E3">
        <w:t xml:space="preserve"> with Section 851 and </w:t>
      </w:r>
      <w:r w:rsidR="006170C1" w:rsidRPr="008E13E3">
        <w:t xml:space="preserve">the </w:t>
      </w:r>
      <w:r w:rsidRPr="008E13E3">
        <w:t>[CPUC’s] regulation of transfers of operational control of electric facilities, an electric corporation subject to [the Transfer Order] . . . shall participate in [CAISO].”</w:t>
      </w:r>
      <w:r w:rsidRPr="008E13E3">
        <w:rPr>
          <w:b/>
          <w:vertAlign w:val="superscript"/>
        </w:rPr>
        <w:footnoteReference w:id="51"/>
      </w:r>
      <w:r w:rsidRPr="008E13E3">
        <w:t xml:space="preserve">  California IOUs do not dispute that SDG&amp;E is subject to the Transfer Order.  Therefore, the plain meaning of section 362(c) requires SDG&amp;E to participate in CAISO.</w:t>
      </w:r>
      <w:r w:rsidRPr="008E13E3">
        <w:rPr>
          <w:rStyle w:val="FootnoteReference"/>
        </w:rPr>
        <w:footnoteReference w:id="52"/>
      </w:r>
      <w:bookmarkEnd w:id="1"/>
      <w:r w:rsidRPr="008E13E3">
        <w:t xml:space="preserve">  </w:t>
      </w:r>
    </w:p>
    <w:p w14:paraId="7DE0A9CC" w14:textId="77777777" w:rsidR="008229F8" w:rsidRPr="008E13E3" w:rsidRDefault="008229F8" w:rsidP="0047470A">
      <w:pPr>
        <w:pStyle w:val="FERCparanumber"/>
      </w:pPr>
      <w:r w:rsidRPr="008E13E3">
        <w:lastRenderedPageBreak/>
        <w:t>Contrary to California IOUs’ view,</w:t>
      </w:r>
      <w:r w:rsidRPr="008E13E3">
        <w:rPr>
          <w:rStyle w:val="FootnoteReference"/>
        </w:rPr>
        <w:footnoteReference w:id="53"/>
      </w:r>
      <w:r w:rsidRPr="008E13E3">
        <w:t xml:space="preserve"> section 362(c) mandates participation and does not address withdrawal at all.</w:t>
      </w:r>
      <w:r w:rsidR="00603FE7" w:rsidRPr="008E13E3">
        <w:t xml:space="preserve">  </w:t>
      </w:r>
      <w:r w:rsidR="00B379E6" w:rsidRPr="008E13E3">
        <w:t xml:space="preserve">While California IOUs argue that passages in the Formula Rate Order and PG&amp;E Adder Order suggest otherwise, the Commission clarified in the PG&amp;E Adder Rehearing Order that </w:t>
      </w:r>
      <w:r w:rsidR="00D80938" w:rsidRPr="008E13E3">
        <w:t>s</w:t>
      </w:r>
      <w:r w:rsidRPr="008E13E3">
        <w:t>ection 362(c) does not provide for withdrawal subject to CPUC approval</w:t>
      </w:r>
      <w:r w:rsidR="00461E5C" w:rsidRPr="008E13E3">
        <w:t>.</w:t>
      </w:r>
      <w:r w:rsidRPr="008E13E3">
        <w:rPr>
          <w:rStyle w:val="FootnoteReference"/>
        </w:rPr>
        <w:footnoteReference w:id="54"/>
      </w:r>
      <w:r w:rsidRPr="008E13E3">
        <w:t xml:space="preserve">  </w:t>
      </w:r>
      <w:r w:rsidR="00205EC3" w:rsidRPr="008E13E3">
        <w:t xml:space="preserve">To the extent </w:t>
      </w:r>
      <w:r w:rsidR="00D56216" w:rsidRPr="008E13E3">
        <w:t xml:space="preserve">the Formula Rate Order leaves any ambiguity, we </w:t>
      </w:r>
      <w:r w:rsidR="00A66FF3" w:rsidRPr="008E13E3">
        <w:t xml:space="preserve">clarify </w:t>
      </w:r>
      <w:r w:rsidR="00D80938" w:rsidRPr="008E13E3">
        <w:t>that section</w:t>
      </w:r>
      <w:r w:rsidR="009B54F4" w:rsidRPr="008E13E3">
        <w:t xml:space="preserve"> 362(c) does not provide for withdrawal.</w:t>
      </w:r>
      <w:r w:rsidR="00A66FF3" w:rsidRPr="008E13E3">
        <w:t xml:space="preserve">  </w:t>
      </w:r>
      <w:r w:rsidRPr="008E13E3">
        <w:t>Seeking an implicit withdrawal condition, California IOUs look to the opening phrase in section 362(c),</w:t>
      </w:r>
      <w:r w:rsidRPr="008E13E3">
        <w:rPr>
          <w:rStyle w:val="FootnoteReference"/>
        </w:rPr>
        <w:t xml:space="preserve"> </w:t>
      </w:r>
      <w:r w:rsidRPr="008E13E3">
        <w:rPr>
          <w:rStyle w:val="FootnoteReference"/>
        </w:rPr>
        <w:footnoteReference w:id="55"/>
      </w:r>
      <w:r w:rsidRPr="008E13E3">
        <w:t xml:space="preserve">  which references California Public Utilities Code section 851 governing regulator-approved transfers of utility property.</w:t>
      </w:r>
      <w:r w:rsidRPr="008E13E3">
        <w:rPr>
          <w:rStyle w:val="FootnoteReference"/>
        </w:rPr>
        <w:footnoteReference w:id="56"/>
      </w:r>
      <w:r w:rsidR="00C66EFB" w:rsidRPr="008E13E3">
        <w:t xml:space="preserve"> </w:t>
      </w:r>
      <w:r w:rsidRPr="008E13E3">
        <w:t xml:space="preserve"> The clause also references </w:t>
      </w:r>
      <w:r w:rsidR="00AA74E0" w:rsidRPr="008E13E3">
        <w:t xml:space="preserve">the </w:t>
      </w:r>
      <w:r w:rsidRPr="008E13E3">
        <w:t>CPUC’s Transfer Order, pursuant to that statute, that approved the California IOUs’ initial applications to join CAISO in 1998.</w:t>
      </w:r>
      <w:r w:rsidRPr="008E13E3">
        <w:rPr>
          <w:rStyle w:val="FootnoteReference"/>
        </w:rPr>
        <w:footnoteReference w:id="57"/>
      </w:r>
      <w:r w:rsidRPr="008E13E3">
        <w:t xml:space="preserve">  California IOUs essentially argue that this introductory clause qualifies the “shall participate” language, such that they may invoke the Transfer Order to seek approval to withdraw.</w:t>
      </w:r>
    </w:p>
    <w:p w14:paraId="2EDEEF39" w14:textId="77777777" w:rsidR="008229F8" w:rsidRPr="008E13E3" w:rsidRDefault="008229F8" w:rsidP="008229F8">
      <w:pPr>
        <w:pStyle w:val="FERCparanumber"/>
      </w:pPr>
      <w:r w:rsidRPr="008E13E3">
        <w:t xml:space="preserve">We disagree that such references to </w:t>
      </w:r>
      <w:r w:rsidR="00AA74E0" w:rsidRPr="008E13E3">
        <w:t xml:space="preserve">the </w:t>
      </w:r>
      <w:r w:rsidRPr="008E13E3">
        <w:t>CPUC’s past authorizations imply a qualification on the “shall participate” language set forth in section 362(c).  In the overall context of section 362(c), including the directive mandating current participation, the opening phrase is better read as a recognition of the origins of the California IOUs’ participation.</w:t>
      </w:r>
      <w:r w:rsidRPr="008E13E3">
        <w:rPr>
          <w:rStyle w:val="FootnoteReference"/>
        </w:rPr>
        <w:footnoteReference w:id="58"/>
      </w:r>
      <w:r w:rsidRPr="008E13E3">
        <w:t xml:space="preserve">  In other words, section 362(c) references the initial 1998 entry—which was encouraged but not mandated under then-existing law—of the California IOUs, only as a preface to the new directive to continue their participation.  It does not, however, provide any basis to request withdrawal from such participation. </w:t>
      </w:r>
      <w:r w:rsidR="00862874" w:rsidRPr="008E13E3">
        <w:t xml:space="preserve"> This stands in contrast to section 362(d), which explicitly requires the CPUC’s approval for the withdrawal of a particular facility from CAISO’s operational control.</w:t>
      </w:r>
    </w:p>
    <w:p w14:paraId="398C17C7" w14:textId="77777777" w:rsidR="008229F8" w:rsidRPr="008E13E3" w:rsidRDefault="008229F8" w:rsidP="008229F8">
      <w:pPr>
        <w:pStyle w:val="FERCparanumber"/>
      </w:pPr>
      <w:r w:rsidRPr="008E13E3">
        <w:lastRenderedPageBreak/>
        <w:t xml:space="preserve">California IOUs further argue that the Commission’s interpretation results in “an absurdity” because a California IOU hypothetically could withdraw all of its facilities from CAISO under section 362(d), with </w:t>
      </w:r>
      <w:r w:rsidR="004444BF" w:rsidRPr="008E13E3">
        <w:t xml:space="preserve">the </w:t>
      </w:r>
      <w:r w:rsidRPr="008E13E3">
        <w:t>CPUC’s hypothetical approval, without technically ending its participation in CAISO.</w:t>
      </w:r>
      <w:r w:rsidRPr="008E13E3">
        <w:rPr>
          <w:rStyle w:val="FootnoteReference"/>
        </w:rPr>
        <w:footnoteReference w:id="59"/>
      </w:r>
      <w:r w:rsidRPr="008E13E3">
        <w:t xml:space="preserve">  We are unpersuaded by this argument.  The Commission’s interpretation </w:t>
      </w:r>
      <w:r w:rsidR="00126E54" w:rsidRPr="008E13E3">
        <w:t>is consistent with the statutory</w:t>
      </w:r>
      <w:r w:rsidRPr="008E13E3">
        <w:t xml:space="preserve"> language, as section 362 does not provide a way for California IOUs to end their participation in CAISO.  California IOUs are separately constrained by both sections 362(c) and 362(d).  They cannot withdraw all of their facilities from CAISO’s operational control, even with </w:t>
      </w:r>
      <w:r w:rsidR="004444BF" w:rsidRPr="008E13E3">
        <w:t xml:space="preserve">the </w:t>
      </w:r>
      <w:r w:rsidRPr="008E13E3">
        <w:t>CPUC’s hypothetical approval under section 362(d), to the extent that that would end their participation in CAISO as required by section 362(c).</w:t>
      </w:r>
      <w:r w:rsidR="00B479FF" w:rsidRPr="008E13E3">
        <w:rPr>
          <w:rStyle w:val="FootnoteReference"/>
        </w:rPr>
        <w:footnoteReference w:id="60"/>
      </w:r>
    </w:p>
    <w:p w14:paraId="4E78FE5D" w14:textId="77777777" w:rsidR="008229F8" w:rsidRPr="008E13E3" w:rsidRDefault="008229F8" w:rsidP="008229F8">
      <w:pPr>
        <w:pStyle w:val="FERCparanumber"/>
      </w:pPr>
      <w:r w:rsidRPr="008E13E3">
        <w:t xml:space="preserve">We agree with </w:t>
      </w:r>
      <w:r w:rsidR="001A7A13" w:rsidRPr="008E13E3">
        <w:t>California IOUs</w:t>
      </w:r>
      <w:r w:rsidRPr="008E13E3">
        <w:t xml:space="preserve"> that legislative findings and statements of purpose cannot overcome unambiguous text.</w:t>
      </w:r>
      <w:r w:rsidRPr="008E13E3">
        <w:rPr>
          <w:rStyle w:val="FootnoteReference"/>
        </w:rPr>
        <w:footnoteReference w:id="61"/>
      </w:r>
      <w:r w:rsidRPr="008E13E3">
        <w:t xml:space="preserve">  As noted above, the unambiguous text of the statute requires that SDG&amp;E “shall participate in [CAISO].”</w:t>
      </w:r>
      <w:r w:rsidRPr="008E13E3">
        <w:rPr>
          <w:rStyle w:val="FootnoteReference"/>
        </w:rPr>
        <w:footnoteReference w:id="62"/>
      </w:r>
      <w:r w:rsidRPr="008E13E3">
        <w:t xml:space="preserve">  However, if we were to consider the legislative history of section 362(c), we would find that, as a whole, it supports the Commission’s interpretation.   </w:t>
      </w:r>
    </w:p>
    <w:p w14:paraId="12C32428" w14:textId="77777777" w:rsidR="001A0026" w:rsidRPr="008E13E3" w:rsidRDefault="008229F8" w:rsidP="00A236AF">
      <w:pPr>
        <w:pStyle w:val="FERCparanumber"/>
      </w:pPr>
      <w:r w:rsidRPr="008E13E3">
        <w:t xml:space="preserve">California IOUs claim that the legislature rejected the Ninth Circuit’s interpretation of state law in </w:t>
      </w:r>
      <w:r w:rsidRPr="008E13E3">
        <w:rPr>
          <w:i/>
        </w:rPr>
        <w:t>CPUC II</w:t>
      </w:r>
      <w:r w:rsidRPr="008E13E3">
        <w:t xml:space="preserve"> and revised state law merely to codify </w:t>
      </w:r>
      <w:r w:rsidR="004444BF" w:rsidRPr="008E13E3">
        <w:t xml:space="preserve">the </w:t>
      </w:r>
      <w:r w:rsidRPr="008E13E3">
        <w:t xml:space="preserve">CPUC’s unsuccessful position in that case.  In enacting AB 209 to add California Public Utilities Code sections 362(c) and (d), the California legislature chose to amend state law following the decision in </w:t>
      </w:r>
      <w:r w:rsidRPr="008E13E3">
        <w:rPr>
          <w:i/>
        </w:rPr>
        <w:t>CPUC II</w:t>
      </w:r>
      <w:r w:rsidRPr="008E13E3">
        <w:t xml:space="preserve">.  Instead of supporting California IOUs’ interpretation, however, we believe this action confirms the legislature’s intent to make California </w:t>
      </w:r>
      <w:r w:rsidRPr="008E13E3">
        <w:lastRenderedPageBreak/>
        <w:t>IOUs’ participation in CAISO mandatory.</w:t>
      </w:r>
      <w:r w:rsidRPr="008E13E3">
        <w:rPr>
          <w:rStyle w:val="FootnoteReference"/>
        </w:rPr>
        <w:footnoteReference w:id="63"/>
      </w:r>
      <w:r w:rsidRPr="008E13E3">
        <w:t xml:space="preserve">  While the legislature did state its intent to codify certain aspects of </w:t>
      </w:r>
      <w:r w:rsidR="004444BF" w:rsidRPr="008E13E3">
        <w:t xml:space="preserve">the </w:t>
      </w:r>
      <w:r w:rsidRPr="008E13E3">
        <w:t xml:space="preserve">CPUC’s position in </w:t>
      </w:r>
      <w:r w:rsidRPr="008E13E3">
        <w:rPr>
          <w:i/>
        </w:rPr>
        <w:t>CPUC II</w:t>
      </w:r>
      <w:r w:rsidRPr="008E13E3">
        <w:t xml:space="preserve"> (namely, the scope of </w:t>
      </w:r>
      <w:r w:rsidR="004444BF" w:rsidRPr="008E13E3">
        <w:t xml:space="preserve">the </w:t>
      </w:r>
      <w:r w:rsidRPr="008E13E3">
        <w:t>CPUC’s authority under California Public Utilities Code section 851 and the collateral effect of the Transfer Order), it also went further in adding section 362(c) to mandate California IOUs’ participation in CAISO.</w:t>
      </w:r>
      <w:r w:rsidRPr="008E13E3">
        <w:rPr>
          <w:rStyle w:val="FootnoteReference"/>
        </w:rPr>
        <w:footnoteReference w:id="64"/>
      </w:r>
      <w:r w:rsidRPr="008E13E3">
        <w:t xml:space="preserve">  California IOUs’ argument that the enactment of AB 209 merely codifies the Transfer Order would conflict with the participation mandate added in section 362(c).</w:t>
      </w:r>
      <w:r w:rsidRPr="008E13E3">
        <w:rPr>
          <w:rStyle w:val="FootnoteReference"/>
        </w:rPr>
        <w:footnoteReference w:id="65"/>
      </w:r>
      <w:r w:rsidRPr="008E13E3">
        <w:t xml:space="preserve">  </w:t>
      </w:r>
      <w:r w:rsidR="001F6254" w:rsidRPr="008E13E3">
        <w:t xml:space="preserve">Whereas </w:t>
      </w:r>
      <w:r w:rsidRPr="008E13E3">
        <w:t xml:space="preserve">AB 209 reaffirms </w:t>
      </w:r>
      <w:r w:rsidR="004444BF" w:rsidRPr="008E13E3">
        <w:t xml:space="preserve">the </w:t>
      </w:r>
      <w:r w:rsidRPr="008E13E3">
        <w:t xml:space="preserve">CPUC’s claimed authority to approve transfers of control under section 851 and the Transfer Order, section 362(c) </w:t>
      </w:r>
      <w:r w:rsidRPr="008E13E3">
        <w:rPr>
          <w:i/>
        </w:rPr>
        <w:t>limits</w:t>
      </w:r>
      <w:r w:rsidRPr="008E13E3">
        <w:t xml:space="preserve"> this authority as applied to </w:t>
      </w:r>
      <w:r w:rsidR="001A7A13" w:rsidRPr="008E13E3">
        <w:t>California IOUs</w:t>
      </w:r>
      <w:r w:rsidRPr="008E13E3">
        <w:t xml:space="preserve">’ participation in CAISO, where </w:t>
      </w:r>
      <w:r w:rsidR="004444BF" w:rsidRPr="008E13E3">
        <w:t xml:space="preserve">the </w:t>
      </w:r>
      <w:r w:rsidRPr="008E13E3">
        <w:t xml:space="preserve">CPUC cannot permit their withdrawal.  Section 362(c) is thus consistent with the legislature’s stated intent “[t]o </w:t>
      </w:r>
      <w:proofErr w:type="gramStart"/>
      <w:r w:rsidRPr="008E13E3">
        <w:t>reaffirm</w:t>
      </w:r>
      <w:proofErr w:type="gramEnd"/>
      <w:r w:rsidRPr="008E13E3">
        <w:t xml:space="preserve"> that an electrical corporation currently participating in [CAISO] is not a voluntary participant.”</w:t>
      </w:r>
      <w:r w:rsidRPr="008E13E3">
        <w:rPr>
          <w:rStyle w:val="FootnoteReference"/>
        </w:rPr>
        <w:footnoteReference w:id="66"/>
      </w:r>
      <w:r w:rsidRPr="008E13E3">
        <w:t xml:space="preserve">  </w:t>
      </w:r>
    </w:p>
    <w:p w14:paraId="634EDB5C" w14:textId="77777777" w:rsidR="00C84390" w:rsidRPr="008E13E3" w:rsidRDefault="008229F8" w:rsidP="00BA7142">
      <w:pPr>
        <w:pStyle w:val="FERCparanumber"/>
      </w:pPr>
      <w:r w:rsidRPr="008E13E3">
        <w:t>Based on our interpretation of section 362(c) above,</w:t>
      </w:r>
      <w:r w:rsidRPr="008E13E3">
        <w:rPr>
          <w:b/>
          <w:vertAlign w:val="superscript"/>
        </w:rPr>
        <w:footnoteReference w:id="67"/>
      </w:r>
      <w:r w:rsidRPr="008E13E3">
        <w:t xml:space="preserve"> we do not </w:t>
      </w:r>
      <w:r w:rsidR="00126E54" w:rsidRPr="008E13E3">
        <w:t xml:space="preserve">need to further </w:t>
      </w:r>
      <w:r w:rsidRPr="008E13E3">
        <w:t xml:space="preserve">address </w:t>
      </w:r>
      <w:r w:rsidR="001A7A13" w:rsidRPr="008E13E3">
        <w:t>California IOUs</w:t>
      </w:r>
      <w:r w:rsidRPr="008E13E3">
        <w:t>’ argument that SDG&amp;E’s participation in CAISO is voluntary under their interpretation of section 362(c).</w:t>
      </w:r>
      <w:r w:rsidR="00253D16" w:rsidRPr="008E13E3">
        <w:rPr>
          <w:rStyle w:val="FootnoteReference"/>
        </w:rPr>
        <w:footnoteReference w:id="68"/>
      </w:r>
    </w:p>
    <w:p w14:paraId="6342478A" w14:textId="77777777" w:rsidR="004F5786" w:rsidRPr="008E13E3" w:rsidRDefault="004F5786" w:rsidP="005C5320">
      <w:pPr>
        <w:pStyle w:val="Heading2"/>
      </w:pPr>
      <w:r w:rsidRPr="008E13E3">
        <w:t xml:space="preserve">Whether </w:t>
      </w:r>
      <w:r w:rsidR="00A02A2F" w:rsidRPr="008E13E3">
        <w:t xml:space="preserve">the FPA Preempts </w:t>
      </w:r>
      <w:r w:rsidR="00382E48" w:rsidRPr="008E13E3">
        <w:t>Section 362(c) of the California Public Utilities Code</w:t>
      </w:r>
    </w:p>
    <w:p w14:paraId="00BF614A" w14:textId="77777777" w:rsidR="004F5786" w:rsidRPr="008E13E3" w:rsidRDefault="004F5786" w:rsidP="005C5320">
      <w:pPr>
        <w:pStyle w:val="Heading3"/>
      </w:pPr>
      <w:r w:rsidRPr="008E13E3">
        <w:t>Rehearing Request</w:t>
      </w:r>
    </w:p>
    <w:p w14:paraId="4903F36D" w14:textId="77777777" w:rsidR="00374971" w:rsidRPr="008E13E3" w:rsidRDefault="001A7A13" w:rsidP="00374971">
      <w:pPr>
        <w:pStyle w:val="FERCparanumber"/>
      </w:pPr>
      <w:r w:rsidRPr="008E13E3">
        <w:t>California IOUs</w:t>
      </w:r>
      <w:r w:rsidR="00374971" w:rsidRPr="008E13E3">
        <w:t xml:space="preserve"> </w:t>
      </w:r>
      <w:r w:rsidR="00DF44D1" w:rsidRPr="008E13E3">
        <w:t xml:space="preserve">contend </w:t>
      </w:r>
      <w:r w:rsidR="00374971" w:rsidRPr="008E13E3">
        <w:t xml:space="preserve">that, even if section 362(c) mandated </w:t>
      </w:r>
      <w:r w:rsidR="00C6723F" w:rsidRPr="008E13E3">
        <w:t xml:space="preserve">CAISO </w:t>
      </w:r>
      <w:r w:rsidR="00374971" w:rsidRPr="008E13E3">
        <w:t xml:space="preserve">membership, </w:t>
      </w:r>
      <w:r w:rsidR="008638A1" w:rsidRPr="008E13E3">
        <w:t xml:space="preserve">the Commission </w:t>
      </w:r>
      <w:r w:rsidR="006650A8" w:rsidRPr="008E13E3">
        <w:t xml:space="preserve">could not rely on it </w:t>
      </w:r>
      <w:r w:rsidR="008638A1" w:rsidRPr="008E13E3">
        <w:t xml:space="preserve">to deny SDG&amp;E the RTO Adder </w:t>
      </w:r>
      <w:r w:rsidR="008638A1" w:rsidRPr="008E13E3">
        <w:lastRenderedPageBreak/>
        <w:t>because Congress has preempted such state laws.</w:t>
      </w:r>
      <w:r w:rsidR="008638A1" w:rsidRPr="008E13E3">
        <w:rPr>
          <w:rStyle w:val="FootnoteReference"/>
        </w:rPr>
        <w:footnoteReference w:id="69"/>
      </w:r>
      <w:r w:rsidR="00C610BD" w:rsidRPr="008E13E3">
        <w:t xml:space="preserve">  </w:t>
      </w:r>
      <w:r w:rsidRPr="008E13E3">
        <w:t>California IOUs</w:t>
      </w:r>
      <w:r w:rsidR="00AF67BA" w:rsidRPr="008E13E3">
        <w:t xml:space="preserve"> </w:t>
      </w:r>
      <w:r w:rsidR="001E3808" w:rsidRPr="008E13E3">
        <w:t xml:space="preserve">first </w:t>
      </w:r>
      <w:r w:rsidR="00AF67BA" w:rsidRPr="008E13E3">
        <w:t>argue that the Commission’s decision not to address preemption was arbitrary and capricious.</w:t>
      </w:r>
      <w:r w:rsidR="00AF67BA" w:rsidRPr="008E13E3">
        <w:rPr>
          <w:rStyle w:val="FootnoteReference"/>
        </w:rPr>
        <w:footnoteReference w:id="70"/>
      </w:r>
      <w:r w:rsidR="00AF67BA" w:rsidRPr="008E13E3">
        <w:t xml:space="preserve">  </w:t>
      </w:r>
      <w:r w:rsidRPr="008E13E3">
        <w:t>California IOUs</w:t>
      </w:r>
      <w:r w:rsidR="002B087A" w:rsidRPr="008E13E3">
        <w:t xml:space="preserve"> </w:t>
      </w:r>
      <w:r w:rsidR="00F6046F" w:rsidRPr="008E13E3">
        <w:t>explain</w:t>
      </w:r>
      <w:r w:rsidR="002B087A" w:rsidRPr="008E13E3">
        <w:t xml:space="preserve"> that the </w:t>
      </w:r>
      <w:r w:rsidR="00444574" w:rsidRPr="008E13E3">
        <w:t xml:space="preserve">United States Court of Appeals for the </w:t>
      </w:r>
      <w:r w:rsidR="002B087A" w:rsidRPr="008E13E3">
        <w:t xml:space="preserve">Sixth Circuit </w:t>
      </w:r>
      <w:r w:rsidR="00437068" w:rsidRPr="008E13E3">
        <w:t xml:space="preserve">(Sixth Circuit) </w:t>
      </w:r>
      <w:r w:rsidR="002B087A" w:rsidRPr="008E13E3">
        <w:t xml:space="preserve">recently held in </w:t>
      </w:r>
      <w:r w:rsidR="002B087A" w:rsidRPr="008E13E3">
        <w:rPr>
          <w:i/>
          <w:iCs/>
        </w:rPr>
        <w:t>Dayton</w:t>
      </w:r>
      <w:r w:rsidR="002B087A" w:rsidRPr="008E13E3">
        <w:t xml:space="preserve"> that the Commission cannot decline to address preemption in assessing whether to deny the RTO Adder based on a state law requiring RTO membership.</w:t>
      </w:r>
      <w:r w:rsidR="002B087A" w:rsidRPr="008E13E3">
        <w:rPr>
          <w:rStyle w:val="FootnoteReference"/>
        </w:rPr>
        <w:footnoteReference w:id="71"/>
      </w:r>
      <w:r w:rsidR="002D188D" w:rsidRPr="008E13E3">
        <w:t xml:space="preserve">  </w:t>
      </w:r>
      <w:r w:rsidRPr="008E13E3">
        <w:t>California IOUs</w:t>
      </w:r>
      <w:r w:rsidR="001E2524" w:rsidRPr="008E13E3">
        <w:t xml:space="preserve"> </w:t>
      </w:r>
      <w:r w:rsidR="00BB4E4D" w:rsidRPr="008E13E3">
        <w:t>assert</w:t>
      </w:r>
      <w:r w:rsidR="001E2524" w:rsidRPr="008E13E3">
        <w:t xml:space="preserve"> </w:t>
      </w:r>
      <w:r w:rsidR="00B1290F" w:rsidRPr="008E13E3">
        <w:t>that</w:t>
      </w:r>
      <w:r w:rsidR="00BB4E4D" w:rsidRPr="008E13E3">
        <w:t>, while</w:t>
      </w:r>
      <w:r w:rsidR="00B1290F" w:rsidRPr="008E13E3">
        <w:t xml:space="preserve"> </w:t>
      </w:r>
      <w:r w:rsidR="00E14393" w:rsidRPr="008E13E3">
        <w:t>the Commission</w:t>
      </w:r>
      <w:r w:rsidR="00BB4E4D" w:rsidRPr="008E13E3">
        <w:t xml:space="preserve"> in the </w:t>
      </w:r>
      <w:r w:rsidR="00BD6F34" w:rsidRPr="008E13E3">
        <w:t>Formula Rate</w:t>
      </w:r>
      <w:r w:rsidR="00BB4E4D" w:rsidRPr="008E13E3">
        <w:t xml:space="preserve"> Order relied upon its preemption response in the PG&amp;E Adder Rehearing Order, where the Commission said that “only a federal court has the ultimate authority to invalidate” California’s law, courts are not uniquely able to address preemption.  </w:t>
      </w:r>
      <w:r w:rsidRPr="008E13E3">
        <w:t>California IOUs</w:t>
      </w:r>
      <w:r w:rsidR="001E2524" w:rsidRPr="008E13E3">
        <w:t xml:space="preserve"> argue </w:t>
      </w:r>
      <w:r w:rsidR="00B1290F" w:rsidRPr="008E13E3">
        <w:t xml:space="preserve">that </w:t>
      </w:r>
      <w:r w:rsidR="00E14393" w:rsidRPr="008E13E3">
        <w:t>the Commission</w:t>
      </w:r>
      <w:r w:rsidR="00B1290F" w:rsidRPr="008E13E3">
        <w:t>, as an executive agency, must</w:t>
      </w:r>
      <w:r w:rsidR="00FA2F54" w:rsidRPr="008E13E3">
        <w:t xml:space="preserve"> respect the</w:t>
      </w:r>
      <w:r w:rsidR="00E14393" w:rsidRPr="008E13E3">
        <w:t xml:space="preserve"> U.S. Constitution’s</w:t>
      </w:r>
      <w:r w:rsidR="00FA2F54" w:rsidRPr="008E13E3">
        <w:t xml:space="preserve"> Supremacy Clause and must</w:t>
      </w:r>
      <w:r w:rsidR="00B1290F" w:rsidRPr="008E13E3">
        <w:t xml:space="preserve"> “take Care that the Laws be faithfully executed</w:t>
      </w:r>
      <w:r w:rsidR="00FA2F54" w:rsidRPr="008E13E3">
        <w:t>.</w:t>
      </w:r>
      <w:r w:rsidR="00B1290F" w:rsidRPr="008E13E3">
        <w:t>”</w:t>
      </w:r>
      <w:r w:rsidR="00401711" w:rsidRPr="008E13E3">
        <w:rPr>
          <w:rStyle w:val="FootnoteReference"/>
        </w:rPr>
        <w:t xml:space="preserve"> </w:t>
      </w:r>
      <w:r w:rsidR="00401711" w:rsidRPr="008E13E3">
        <w:rPr>
          <w:rStyle w:val="FootnoteReference"/>
        </w:rPr>
        <w:footnoteReference w:id="72"/>
      </w:r>
      <w:r w:rsidR="00B20352" w:rsidRPr="008E13E3">
        <w:t xml:space="preserve">  </w:t>
      </w:r>
      <w:r w:rsidRPr="008E13E3">
        <w:t>California IOUs</w:t>
      </w:r>
      <w:r w:rsidR="00B20352" w:rsidRPr="008E13E3">
        <w:t xml:space="preserve"> argue that the Commission </w:t>
      </w:r>
      <w:r w:rsidR="000A2D1A" w:rsidRPr="008E13E3">
        <w:t>cannot</w:t>
      </w:r>
      <w:r w:rsidR="00B20352" w:rsidRPr="008E13E3">
        <w:t xml:space="preserve">, consistent with its constitutional duties, </w:t>
      </w:r>
      <w:r w:rsidR="000A2D1A" w:rsidRPr="008E13E3">
        <w:t>rely on a preempted state law as binding to deny a federal incentive</w:t>
      </w:r>
      <w:r w:rsidR="00401711" w:rsidRPr="008E13E3">
        <w:t>.</w:t>
      </w:r>
      <w:r w:rsidR="00401711" w:rsidRPr="008E13E3">
        <w:rPr>
          <w:rStyle w:val="FootnoteReference"/>
        </w:rPr>
        <w:footnoteReference w:id="73"/>
      </w:r>
      <w:r w:rsidR="00384830" w:rsidRPr="008E13E3">
        <w:t xml:space="preserve"> </w:t>
      </w:r>
      <w:r w:rsidR="00E768F6" w:rsidRPr="008E13E3">
        <w:t xml:space="preserve"> </w:t>
      </w:r>
      <w:r w:rsidRPr="008E13E3">
        <w:t>California IOUs</w:t>
      </w:r>
      <w:r w:rsidR="00E768F6" w:rsidRPr="008E13E3">
        <w:t xml:space="preserve"> further argue that the Commission could not claim it has an insufficient record to address preemption (if it addressed it at all) when it has the authority to set the matter for hearing.</w:t>
      </w:r>
      <w:r w:rsidR="00E768F6" w:rsidRPr="008E13E3">
        <w:rPr>
          <w:rStyle w:val="FootnoteReference"/>
        </w:rPr>
        <w:footnoteReference w:id="74"/>
      </w:r>
    </w:p>
    <w:p w14:paraId="379E887F" w14:textId="77777777" w:rsidR="00DA60F6" w:rsidRPr="008E13E3" w:rsidRDefault="001A7A13" w:rsidP="00374971">
      <w:pPr>
        <w:pStyle w:val="FERCparanumber"/>
      </w:pPr>
      <w:r w:rsidRPr="008E13E3">
        <w:t>California IOUs</w:t>
      </w:r>
      <w:r w:rsidR="002D188D" w:rsidRPr="008E13E3">
        <w:t xml:space="preserve"> disagree with the Sixth Circuit’s determination</w:t>
      </w:r>
      <w:r w:rsidR="00401711" w:rsidRPr="008E13E3">
        <w:t xml:space="preserve"> in </w:t>
      </w:r>
      <w:r w:rsidR="00401711" w:rsidRPr="008E13E3">
        <w:rPr>
          <w:i/>
          <w:iCs/>
        </w:rPr>
        <w:t>Dayton</w:t>
      </w:r>
      <w:r w:rsidR="002D188D" w:rsidRPr="008E13E3">
        <w:t xml:space="preserve"> that </w:t>
      </w:r>
      <w:r w:rsidR="006014D7" w:rsidRPr="008E13E3">
        <w:t>state laws requiring RTO membership are not preempted by the F</w:t>
      </w:r>
      <w:r w:rsidR="00CB6A7A" w:rsidRPr="008E13E3">
        <w:t>PA</w:t>
      </w:r>
      <w:r w:rsidR="006014D7" w:rsidRPr="008E13E3">
        <w:t>.</w:t>
      </w:r>
      <w:r w:rsidR="00401711" w:rsidRPr="008E13E3">
        <w:rPr>
          <w:rStyle w:val="FootnoteReference"/>
        </w:rPr>
        <w:footnoteReference w:id="75"/>
      </w:r>
      <w:r w:rsidR="006014D7" w:rsidRPr="008E13E3">
        <w:t xml:space="preserve"> </w:t>
      </w:r>
      <w:r w:rsidR="00401711" w:rsidRPr="008E13E3">
        <w:t xml:space="preserve"> </w:t>
      </w:r>
      <w:r w:rsidR="00C0718A" w:rsidRPr="008E13E3">
        <w:t xml:space="preserve">With regard to field preemption, </w:t>
      </w:r>
      <w:r w:rsidRPr="008E13E3">
        <w:t>California IOUs</w:t>
      </w:r>
      <w:r w:rsidR="00C0718A" w:rsidRPr="008E13E3">
        <w:t xml:space="preserve"> maintain that the Commission possesses “comprehensive and exclusive jurisdiction” over interstate transmission facilities and rates,</w:t>
      </w:r>
      <w:r w:rsidR="00C0718A" w:rsidRPr="008E13E3">
        <w:rPr>
          <w:b/>
          <w:vertAlign w:val="superscript"/>
        </w:rPr>
        <w:footnoteReference w:id="76"/>
      </w:r>
      <w:r w:rsidR="00C0718A" w:rsidRPr="008E13E3">
        <w:t xml:space="preserve"> and that states thus cannot command utilities to turn over operational control of their federally regulated transmission facilities to an independent third party like CAISO because such commands are themselves regulations of the federal field.</w:t>
      </w:r>
      <w:r w:rsidR="00C0718A" w:rsidRPr="008E13E3">
        <w:rPr>
          <w:b/>
          <w:vertAlign w:val="superscript"/>
        </w:rPr>
        <w:footnoteReference w:id="77"/>
      </w:r>
      <w:r w:rsidR="00C0718A" w:rsidRPr="008E13E3">
        <w:t xml:space="preserve">  </w:t>
      </w:r>
      <w:r w:rsidRPr="008E13E3">
        <w:t xml:space="preserve">California </w:t>
      </w:r>
      <w:r w:rsidRPr="008E13E3">
        <w:lastRenderedPageBreak/>
        <w:t>IOUs</w:t>
      </w:r>
      <w:r w:rsidR="00C0718A" w:rsidRPr="008E13E3">
        <w:t xml:space="preserve"> further explain that the Supreme Court has found that the FPA preempts state laws that “aim[] directly at” federal rate incentives.</w:t>
      </w:r>
      <w:r w:rsidR="00C0718A" w:rsidRPr="008E13E3">
        <w:rPr>
          <w:b/>
          <w:vertAlign w:val="superscript"/>
        </w:rPr>
        <w:footnoteReference w:id="78"/>
      </w:r>
      <w:r w:rsidR="00C0718A" w:rsidRPr="008E13E3">
        <w:t xml:space="preserve">  </w:t>
      </w:r>
      <w:r w:rsidRPr="008E13E3">
        <w:t>California IOUs</w:t>
      </w:r>
      <w:r w:rsidR="00C0718A" w:rsidRPr="008E13E3">
        <w:t xml:space="preserve"> argue that that the Commission has exclusive authority to review and approve the rates transmission owners charge for transmitting energy in interstate commerce, and that whenever states intrude into the federal field under such a statute, preemption is required.</w:t>
      </w:r>
      <w:r w:rsidR="00C0718A" w:rsidRPr="008E13E3">
        <w:rPr>
          <w:b/>
          <w:vertAlign w:val="superscript"/>
        </w:rPr>
        <w:footnoteReference w:id="79"/>
      </w:r>
      <w:r w:rsidR="00C0718A" w:rsidRPr="008E13E3">
        <w:t xml:space="preserve"> </w:t>
      </w:r>
    </w:p>
    <w:p w14:paraId="57E744A8" w14:textId="77777777" w:rsidR="00012822" w:rsidRPr="008E13E3" w:rsidRDefault="001A7A13" w:rsidP="00012822">
      <w:pPr>
        <w:pStyle w:val="FERCparanumber"/>
      </w:pPr>
      <w:r w:rsidRPr="008E13E3">
        <w:t>California IOUs</w:t>
      </w:r>
      <w:r w:rsidR="00012822" w:rsidRPr="008E13E3">
        <w:t xml:space="preserve"> argue that this precedent makes clear that section 362(c) is field preempted.  </w:t>
      </w:r>
      <w:r w:rsidRPr="008E13E3">
        <w:t>California IOUs</w:t>
      </w:r>
      <w:r w:rsidR="00012822" w:rsidRPr="008E13E3">
        <w:t xml:space="preserve"> assert that the Commission reads section 362(c)—and that provision’s statement that utilities “shall participate” in CAISO and </w:t>
      </w:r>
      <w:r w:rsidR="00A97C54" w:rsidRPr="008E13E3">
        <w:t xml:space="preserve">the </w:t>
      </w:r>
      <w:r w:rsidR="00145C37" w:rsidRPr="008E13E3">
        <w:t xml:space="preserve">CPUC’s </w:t>
      </w:r>
      <w:r w:rsidR="00012822" w:rsidRPr="008E13E3">
        <w:t>regulation of transfers of operational control of electric facilities—to require California utilities to turn over operational control of their transmission facilities to CAISO.</w:t>
      </w:r>
      <w:r w:rsidR="00012822" w:rsidRPr="008E13E3">
        <w:rPr>
          <w:rStyle w:val="FootnoteReference"/>
        </w:rPr>
        <w:footnoteReference w:id="80"/>
      </w:r>
      <w:r w:rsidR="00012822" w:rsidRPr="008E13E3">
        <w:t xml:space="preserve">  But </w:t>
      </w:r>
      <w:r w:rsidRPr="008E13E3">
        <w:t>California IOUs</w:t>
      </w:r>
      <w:r w:rsidR="00012822" w:rsidRPr="008E13E3">
        <w:t xml:space="preserve"> claim that issues relating to the operational control of federally regulated transmission facilities implicate the Commission’s exclusive oversight and jurisdiction, as Congress has charged the Commission with the responsibility to review the rates transmission owners charge for transmitting energy to ensure they are just and reasonable.  </w:t>
      </w:r>
      <w:r w:rsidRPr="008E13E3">
        <w:t>California IOUs</w:t>
      </w:r>
      <w:r w:rsidR="00012822" w:rsidRPr="008E13E3">
        <w:t xml:space="preserve"> further argue that the California legislature directly targeted the RTO Adder, as the California legislature enacted AB 209 after the Ninth Circuit disagreed with </w:t>
      </w:r>
      <w:r w:rsidR="00A97C54" w:rsidRPr="008E13E3">
        <w:t xml:space="preserve">the </w:t>
      </w:r>
      <w:r w:rsidR="00012822" w:rsidRPr="008E13E3">
        <w:t xml:space="preserve">CPUC’s position in </w:t>
      </w:r>
      <w:r w:rsidR="00012822" w:rsidRPr="008E13E3">
        <w:rPr>
          <w:i/>
          <w:iCs/>
        </w:rPr>
        <w:t>CPUC II</w:t>
      </w:r>
      <w:r w:rsidR="00012822" w:rsidRPr="008E13E3">
        <w:t xml:space="preserve">, and after </w:t>
      </w:r>
      <w:r w:rsidR="00A97C54" w:rsidRPr="008E13E3">
        <w:t xml:space="preserve">the </w:t>
      </w:r>
      <w:r w:rsidR="00012822" w:rsidRPr="008E13E3">
        <w:t xml:space="preserve">CPUC’s unsuccessful, multi-year effort to strip </w:t>
      </w:r>
      <w:r w:rsidRPr="008E13E3">
        <w:t>California IOUs</w:t>
      </w:r>
      <w:r w:rsidR="00012822" w:rsidRPr="008E13E3">
        <w:t xml:space="preserve"> of the RTO Adder.  </w:t>
      </w:r>
      <w:r w:rsidRPr="008E13E3">
        <w:t>California IOUs</w:t>
      </w:r>
      <w:r w:rsidR="00012822" w:rsidRPr="008E13E3">
        <w:t xml:space="preserve"> claim that. by purporting to regulate who has operational control over interstate transmission facilities and which utilities are entitled to federal rate incentives, section 362(c) intrudes on the Commission’s exclusive jurisdiction.</w:t>
      </w:r>
      <w:r w:rsidR="00623508" w:rsidRPr="008E13E3">
        <w:rPr>
          <w:rStyle w:val="FootnoteReference"/>
        </w:rPr>
        <w:footnoteReference w:id="81"/>
      </w:r>
    </w:p>
    <w:p w14:paraId="5E41B6AC" w14:textId="77777777" w:rsidR="00055E8D" w:rsidRPr="008E13E3" w:rsidRDefault="001A7A13" w:rsidP="00374971">
      <w:pPr>
        <w:pStyle w:val="FERCparanumber"/>
      </w:pPr>
      <w:r w:rsidRPr="008E13E3">
        <w:t>California IOUs</w:t>
      </w:r>
      <w:r w:rsidR="000D1B20" w:rsidRPr="008E13E3">
        <w:t xml:space="preserve"> argue that the Sixth Circuit erred in </w:t>
      </w:r>
      <w:r w:rsidR="000D1B20" w:rsidRPr="008E13E3">
        <w:rPr>
          <w:i/>
          <w:iCs/>
        </w:rPr>
        <w:t>Dayton</w:t>
      </w:r>
      <w:r w:rsidR="000D1B20" w:rsidRPr="008E13E3">
        <w:t xml:space="preserve"> in determining that field preemption did not apply.  </w:t>
      </w:r>
      <w:r w:rsidR="009D62A3" w:rsidRPr="008E13E3">
        <w:t>They</w:t>
      </w:r>
      <w:r w:rsidR="00254250" w:rsidRPr="008E13E3">
        <w:t xml:space="preserve"> </w:t>
      </w:r>
      <w:r w:rsidR="00643C06" w:rsidRPr="008E13E3">
        <w:t>contend</w:t>
      </w:r>
      <w:r w:rsidR="00A83583" w:rsidRPr="008E13E3">
        <w:t xml:space="preserve"> that the Sixth Circuit erred in finding </w:t>
      </w:r>
      <w:r w:rsidR="00ED1BBC" w:rsidRPr="008E13E3">
        <w:t>that the Commission’s jurisdiction over interstate transmission facilities was not exclusive.</w:t>
      </w:r>
      <w:r w:rsidR="00ED1BBC" w:rsidRPr="008E13E3">
        <w:rPr>
          <w:rStyle w:val="FootnoteReference"/>
        </w:rPr>
        <w:footnoteReference w:id="82"/>
      </w:r>
      <w:r w:rsidR="00024217" w:rsidRPr="008E13E3">
        <w:t xml:space="preserve">  According to </w:t>
      </w:r>
      <w:r w:rsidRPr="008E13E3">
        <w:t>California IOUs</w:t>
      </w:r>
      <w:r w:rsidR="00024217" w:rsidRPr="008E13E3">
        <w:t xml:space="preserve">, the FPA </w:t>
      </w:r>
      <w:r w:rsidR="00CE0B06" w:rsidRPr="008E13E3">
        <w:t xml:space="preserve">confers the Commission with jurisdiction over </w:t>
      </w:r>
      <w:r w:rsidR="00603F10" w:rsidRPr="008E13E3">
        <w:t xml:space="preserve">“the transmission of electric energy in interstate commerce” and </w:t>
      </w:r>
      <w:r w:rsidR="00024217" w:rsidRPr="008E13E3">
        <w:t xml:space="preserve">reserves to states </w:t>
      </w:r>
      <w:r w:rsidR="005715F7" w:rsidRPr="008E13E3">
        <w:t xml:space="preserve">authority over “facilities used . . . </w:t>
      </w:r>
      <w:r w:rsidR="005715F7" w:rsidRPr="008E13E3">
        <w:rPr>
          <w:i/>
          <w:iCs/>
        </w:rPr>
        <w:t>only</w:t>
      </w:r>
      <w:r w:rsidR="005715F7" w:rsidRPr="008E13E3">
        <w:t xml:space="preserve"> for the transmission of electric energy in intrastate </w:t>
      </w:r>
      <w:r w:rsidR="005715F7" w:rsidRPr="008E13E3">
        <w:lastRenderedPageBreak/>
        <w:t>commerce.”</w:t>
      </w:r>
      <w:r w:rsidR="005715F7" w:rsidRPr="008E13E3">
        <w:rPr>
          <w:rStyle w:val="FootnoteReference"/>
        </w:rPr>
        <w:footnoteReference w:id="83"/>
      </w:r>
      <w:r w:rsidR="00603F10" w:rsidRPr="008E13E3">
        <w:t xml:space="preserve">  </w:t>
      </w:r>
      <w:r w:rsidRPr="008E13E3">
        <w:t>California IOUs</w:t>
      </w:r>
      <w:r w:rsidR="00603F10" w:rsidRPr="008E13E3">
        <w:t xml:space="preserve"> argue that courts have repeatedly recognized the Commission’s exclusive jurisdiction over the rates, terms, and conditions of service for transmitting electricity in interstate commerce.</w:t>
      </w:r>
      <w:r w:rsidR="00603F10" w:rsidRPr="008E13E3">
        <w:rPr>
          <w:rStyle w:val="FootnoteReference"/>
        </w:rPr>
        <w:footnoteReference w:id="84"/>
      </w:r>
      <w:r w:rsidR="00C6664C" w:rsidRPr="008E13E3">
        <w:t xml:space="preserve">  </w:t>
      </w:r>
      <w:r w:rsidR="00851A54" w:rsidRPr="008E13E3">
        <w:t>They</w:t>
      </w:r>
      <w:r w:rsidR="00C6664C" w:rsidRPr="008E13E3">
        <w:t xml:space="preserve"> </w:t>
      </w:r>
      <w:r w:rsidR="006578AF" w:rsidRPr="008E13E3">
        <w:t xml:space="preserve">contend that the Sixth Circuit took </w:t>
      </w:r>
      <w:r w:rsidR="008A16FC" w:rsidRPr="008E13E3">
        <w:t>a mistaken view that the Commission has less authority over interstate transmission than over wholesale sales, and argue that the D.C. Circuit found that the Commission “possesses greater authority over electricity transmission tha</w:t>
      </w:r>
      <w:r w:rsidR="00C75A16" w:rsidRPr="008E13E3">
        <w:t>n</w:t>
      </w:r>
      <w:r w:rsidR="008A16FC" w:rsidRPr="008E13E3">
        <w:t xml:space="preserve"> it does over sales.”</w:t>
      </w:r>
      <w:r w:rsidR="008A16FC" w:rsidRPr="008E13E3">
        <w:rPr>
          <w:rStyle w:val="FootnoteReference"/>
        </w:rPr>
        <w:footnoteReference w:id="85"/>
      </w:r>
      <w:r w:rsidR="002C0E27" w:rsidRPr="008E13E3">
        <w:t xml:space="preserve">  </w:t>
      </w:r>
      <w:r w:rsidRPr="008E13E3">
        <w:t>California IOUs</w:t>
      </w:r>
      <w:r w:rsidR="00B23AF7" w:rsidRPr="008E13E3">
        <w:t xml:space="preserve"> </w:t>
      </w:r>
      <w:r w:rsidR="00AA3A95" w:rsidRPr="008E13E3">
        <w:t xml:space="preserve">argue that the only case the Sixth Circuit cites to the contrary in </w:t>
      </w:r>
      <w:r w:rsidR="00AA3A95" w:rsidRPr="008E13E3">
        <w:rPr>
          <w:i/>
          <w:iCs/>
        </w:rPr>
        <w:t>Dayton</w:t>
      </w:r>
      <w:r w:rsidR="00AA3A95" w:rsidRPr="008E13E3">
        <w:t xml:space="preserve"> comes from a different statutory scheme that draws different lines between federal and state authority.</w:t>
      </w:r>
      <w:r w:rsidR="00AA3A95" w:rsidRPr="008E13E3">
        <w:rPr>
          <w:rStyle w:val="FootnoteReference"/>
        </w:rPr>
        <w:footnoteReference w:id="86"/>
      </w:r>
      <w:r w:rsidR="00D84B5D" w:rsidRPr="008E13E3">
        <w:t xml:space="preserve">  </w:t>
      </w:r>
      <w:r w:rsidRPr="008E13E3">
        <w:t>California IOUs</w:t>
      </w:r>
      <w:r w:rsidR="00D84B5D" w:rsidRPr="008E13E3">
        <w:t xml:space="preserve"> further argue that the Sixth Circuit erred in characterizing the Ohio law as “primarily </w:t>
      </w:r>
      <w:proofErr w:type="spellStart"/>
      <w:r w:rsidR="00D84B5D" w:rsidRPr="008E13E3">
        <w:t>regulat</w:t>
      </w:r>
      <w:proofErr w:type="spellEnd"/>
      <w:r w:rsidR="00D84B5D" w:rsidRPr="008E13E3">
        <w:t>[</w:t>
      </w:r>
      <w:proofErr w:type="spellStart"/>
      <w:r w:rsidR="00D84B5D" w:rsidRPr="008E13E3">
        <w:t>ing</w:t>
      </w:r>
      <w:proofErr w:type="spellEnd"/>
      <w:r w:rsidR="00D84B5D" w:rsidRPr="008E13E3">
        <w:t>] intrastate transmission” and that due to the grid’s interconnected nature, nearly all transmission occurs in interstate commerce.</w:t>
      </w:r>
      <w:r w:rsidR="00D84B5D" w:rsidRPr="008E13E3">
        <w:rPr>
          <w:rStyle w:val="FootnoteReference"/>
        </w:rPr>
        <w:footnoteReference w:id="87"/>
      </w:r>
      <w:r w:rsidR="00A640D6" w:rsidRPr="008E13E3">
        <w:t xml:space="preserve">  </w:t>
      </w:r>
      <w:r w:rsidRPr="008E13E3">
        <w:t>California IOUs</w:t>
      </w:r>
      <w:r w:rsidR="00A640D6" w:rsidRPr="008E13E3">
        <w:t xml:space="preserve"> argue that </w:t>
      </w:r>
      <w:r w:rsidR="009004EF" w:rsidRPr="008E13E3">
        <w:t xml:space="preserve">section 362(c) therefore targets transmission facilities used to transmit energy in interstate commerce, which are </w:t>
      </w:r>
      <w:r w:rsidR="00C051EF" w:rsidRPr="008E13E3">
        <w:t>in the Commission’s exclusive domain under the FPA</w:t>
      </w:r>
      <w:r w:rsidR="009004EF" w:rsidRPr="008E13E3">
        <w:t>.</w:t>
      </w:r>
      <w:r w:rsidR="00C051EF" w:rsidRPr="008E13E3">
        <w:rPr>
          <w:rStyle w:val="FootnoteReference"/>
        </w:rPr>
        <w:footnoteReference w:id="88"/>
      </w:r>
    </w:p>
    <w:p w14:paraId="1A09D5EE" w14:textId="77777777" w:rsidR="00412599" w:rsidRPr="008E13E3" w:rsidRDefault="001A7A13" w:rsidP="00374971">
      <w:pPr>
        <w:pStyle w:val="FERCparanumber"/>
      </w:pPr>
      <w:r w:rsidRPr="008E13E3">
        <w:t>California IOUs</w:t>
      </w:r>
      <w:r w:rsidR="004B7EE5" w:rsidRPr="008E13E3">
        <w:t xml:space="preserve"> </w:t>
      </w:r>
      <w:r w:rsidR="00C051EF" w:rsidRPr="008E13E3">
        <w:t xml:space="preserve">further </w:t>
      </w:r>
      <w:r w:rsidR="004B7EE5" w:rsidRPr="008E13E3">
        <w:t xml:space="preserve">argue that </w:t>
      </w:r>
      <w:r w:rsidR="00C051EF" w:rsidRPr="008E13E3">
        <w:t xml:space="preserve">the Sixth Circuit erred in </w:t>
      </w:r>
      <w:r w:rsidR="00F93292" w:rsidRPr="008E13E3">
        <w:t xml:space="preserve">reasoning that the Public Utilities Regulatory Policy Act of 1978 (PURPA) </w:t>
      </w:r>
      <w:r w:rsidR="00DF36AC" w:rsidRPr="008E13E3">
        <w:t>“shows that Congress did not preempt all state laws inter</w:t>
      </w:r>
      <w:r w:rsidR="00F03974" w:rsidRPr="008E13E3">
        <w:t>secting with interstate transmission.”</w:t>
      </w:r>
      <w:r w:rsidR="00F03974" w:rsidRPr="008E13E3">
        <w:rPr>
          <w:rStyle w:val="FootnoteReference"/>
        </w:rPr>
        <w:footnoteReference w:id="89"/>
      </w:r>
      <w:r w:rsidR="003652B8" w:rsidRPr="008E13E3">
        <w:t xml:space="preserve">  </w:t>
      </w:r>
      <w:r w:rsidRPr="008E13E3">
        <w:t>California IOUs</w:t>
      </w:r>
      <w:r w:rsidR="003652B8" w:rsidRPr="008E13E3">
        <w:t xml:space="preserve"> </w:t>
      </w:r>
      <w:r w:rsidR="00900C40" w:rsidRPr="008E13E3">
        <w:t xml:space="preserve">contend </w:t>
      </w:r>
      <w:r w:rsidR="003652B8" w:rsidRPr="008E13E3">
        <w:t xml:space="preserve">that PURPA, by empowering the Commission to remove barriers to utilities entering the federal field, </w:t>
      </w:r>
      <w:r w:rsidR="002601BC" w:rsidRPr="008E13E3">
        <w:t xml:space="preserve">does not suggest </w:t>
      </w:r>
      <w:r w:rsidR="007E5D55" w:rsidRPr="008E13E3">
        <w:t>that states may regulate the federal field.</w:t>
      </w:r>
      <w:r w:rsidR="007E5D55" w:rsidRPr="008E13E3">
        <w:rPr>
          <w:rStyle w:val="FootnoteReference"/>
        </w:rPr>
        <w:footnoteReference w:id="90"/>
      </w:r>
      <w:r w:rsidR="007E5D55" w:rsidRPr="008E13E3">
        <w:t xml:space="preserve">  </w:t>
      </w:r>
      <w:r w:rsidR="00900C40" w:rsidRPr="008E13E3">
        <w:t>They</w:t>
      </w:r>
      <w:r w:rsidR="007E5D55" w:rsidRPr="008E13E3">
        <w:t xml:space="preserve"> also argue that</w:t>
      </w:r>
      <w:r w:rsidR="00E02D35" w:rsidRPr="008E13E3">
        <w:t xml:space="preserve">, unlike the Ohio law at issue in </w:t>
      </w:r>
      <w:r w:rsidR="00E02D35" w:rsidRPr="008E13E3">
        <w:rPr>
          <w:i/>
          <w:iCs/>
        </w:rPr>
        <w:t>Dayton</w:t>
      </w:r>
      <w:r w:rsidR="00E02D35" w:rsidRPr="008E13E3">
        <w:t xml:space="preserve">, California enacted section </w:t>
      </w:r>
      <w:r w:rsidR="00E02D35" w:rsidRPr="008E13E3">
        <w:lastRenderedPageBreak/>
        <w:t xml:space="preserve">362(c) in direct response to </w:t>
      </w:r>
      <w:r w:rsidR="00C52137" w:rsidRPr="008E13E3">
        <w:t xml:space="preserve">the Ninth Circuit’s </w:t>
      </w:r>
      <w:r w:rsidR="00C52137" w:rsidRPr="008E13E3">
        <w:rPr>
          <w:i/>
          <w:iCs/>
        </w:rPr>
        <w:t>CPUC II</w:t>
      </w:r>
      <w:r w:rsidR="00C52137" w:rsidRPr="008E13E3">
        <w:rPr>
          <w:iCs/>
        </w:rPr>
        <w:t xml:space="preserve"> </w:t>
      </w:r>
      <w:r w:rsidR="00C52137" w:rsidRPr="008E13E3">
        <w:t xml:space="preserve">decision, targeting and seeking to adjust </w:t>
      </w:r>
      <w:r w:rsidRPr="008E13E3">
        <w:t>California IOUs</w:t>
      </w:r>
      <w:r w:rsidR="00C52137" w:rsidRPr="008E13E3">
        <w:t>’ federal rates.</w:t>
      </w:r>
      <w:r w:rsidR="00C52137" w:rsidRPr="008E13E3">
        <w:rPr>
          <w:rStyle w:val="FootnoteReference"/>
        </w:rPr>
        <w:footnoteReference w:id="91"/>
      </w:r>
    </w:p>
    <w:p w14:paraId="0660BF17" w14:textId="77777777" w:rsidR="0004681F" w:rsidRPr="008E13E3" w:rsidRDefault="001A7A13" w:rsidP="0004681F">
      <w:pPr>
        <w:pStyle w:val="FERCparanumber"/>
      </w:pPr>
      <w:r w:rsidRPr="008E13E3">
        <w:t>California IOUs</w:t>
      </w:r>
      <w:r w:rsidR="0004681F" w:rsidRPr="008E13E3">
        <w:t xml:space="preserve"> next argue that section 362(c) is conflict preempted because section 362(c) directly conflicts with Congress’ mandate that regulators leave to utilities the choice to join or withdraw from an RTO.  </w:t>
      </w:r>
      <w:r w:rsidRPr="008E13E3">
        <w:t>California IOUs</w:t>
      </w:r>
      <w:r w:rsidR="0004681F" w:rsidRPr="008E13E3">
        <w:t xml:space="preserve"> explain that, in FPA section 202(a), Congress required “voluntary interconnection and coordination of [transmission] facilities” and emphasized that it “shall be the duty of [the Commission] to promote and encourage . . . interconnection and coordination.”</w:t>
      </w:r>
      <w:r w:rsidR="0004681F" w:rsidRPr="008E13E3">
        <w:rPr>
          <w:rStyle w:val="FootnoteReference"/>
        </w:rPr>
        <w:footnoteReference w:id="92"/>
      </w:r>
      <w:r w:rsidR="0004681F" w:rsidRPr="008E13E3">
        <w:t xml:space="preserve">  </w:t>
      </w:r>
      <w:r w:rsidRPr="008E13E3">
        <w:t>California IOUs</w:t>
      </w:r>
      <w:r w:rsidR="0004681F" w:rsidRPr="008E13E3">
        <w:t xml:space="preserve"> maintain that a utility cannot simultaneously be compelled and free to join an RTO, and the Commission is charged with managing this voluntary process.  </w:t>
      </w:r>
      <w:r w:rsidRPr="008E13E3">
        <w:t>California IOUs</w:t>
      </w:r>
      <w:r w:rsidR="0004681F" w:rsidRPr="008E13E3">
        <w:t xml:space="preserve"> assert that, because section 362’s requirement conflicts with the voluntary scheme Congress created, California’s law is </w:t>
      </w:r>
      <w:proofErr w:type="gramStart"/>
      <w:r w:rsidR="0004681F" w:rsidRPr="008E13E3">
        <w:t>preempted, and</w:t>
      </w:r>
      <w:proofErr w:type="gramEnd"/>
      <w:r w:rsidR="0004681F" w:rsidRPr="008E13E3">
        <w:t xml:space="preserve"> </w:t>
      </w:r>
      <w:proofErr w:type="gramStart"/>
      <w:r w:rsidR="0004681F" w:rsidRPr="008E13E3">
        <w:t>assert</w:t>
      </w:r>
      <w:proofErr w:type="gramEnd"/>
      <w:r w:rsidR="0004681F" w:rsidRPr="008E13E3">
        <w:t xml:space="preserve"> that the Commission’s interpretation of section 362(c) would frustrate the federal model of voluntary membership in RTOs and create an insuperable obstacle to the achievement of that policy.</w:t>
      </w:r>
      <w:r w:rsidR="0004681F" w:rsidRPr="008E13E3">
        <w:rPr>
          <w:rStyle w:val="FootnoteReference"/>
        </w:rPr>
        <w:footnoteReference w:id="93"/>
      </w:r>
    </w:p>
    <w:p w14:paraId="488F8E9A" w14:textId="77777777" w:rsidR="004119CA" w:rsidRPr="008E13E3" w:rsidRDefault="001A7A13" w:rsidP="00DC23A9">
      <w:pPr>
        <w:pStyle w:val="FERCparanumber"/>
      </w:pPr>
      <w:r w:rsidRPr="008E13E3">
        <w:t>California IOUs</w:t>
      </w:r>
      <w:r w:rsidR="004119CA" w:rsidRPr="008E13E3">
        <w:t xml:space="preserve"> argue that the Sixth Circuit erred in </w:t>
      </w:r>
      <w:r w:rsidR="004119CA" w:rsidRPr="008E13E3">
        <w:rPr>
          <w:i/>
          <w:iCs/>
        </w:rPr>
        <w:t>Dayton</w:t>
      </w:r>
      <w:r w:rsidR="004119CA" w:rsidRPr="008E13E3">
        <w:t xml:space="preserve"> in finding the Ohio law </w:t>
      </w:r>
      <w:r w:rsidR="00730972" w:rsidRPr="008E13E3">
        <w:t>not in conflict with the FPA</w:t>
      </w:r>
      <w:r w:rsidR="00AE5EC3" w:rsidRPr="008E13E3">
        <w:t xml:space="preserve"> due to Congress’s alleged purpose in enacting section 219 to “increase membership in RTOs.”</w:t>
      </w:r>
      <w:r w:rsidR="00F61C65" w:rsidRPr="008E13E3">
        <w:rPr>
          <w:rStyle w:val="FootnoteReference"/>
        </w:rPr>
        <w:footnoteReference w:id="94"/>
      </w:r>
      <w:r w:rsidR="00B551D1" w:rsidRPr="008E13E3">
        <w:t xml:space="preserve">  </w:t>
      </w:r>
      <w:r w:rsidRPr="008E13E3">
        <w:t>California IOUs</w:t>
      </w:r>
      <w:r w:rsidR="00B551D1" w:rsidRPr="008E13E3">
        <w:t xml:space="preserve"> argue that Congress also specified</w:t>
      </w:r>
      <w:r w:rsidR="00F23A6B" w:rsidRPr="008E13E3">
        <w:t xml:space="preserve"> that regional coordination must be achieved through “voluntary interconnection,” </w:t>
      </w:r>
      <w:r w:rsidR="00CA0F88" w:rsidRPr="008E13E3">
        <w:t>and that state laws mandating what Congress made voluntary conflict with the federal law.</w:t>
      </w:r>
      <w:r w:rsidR="00CA0F88" w:rsidRPr="008E13E3">
        <w:rPr>
          <w:rStyle w:val="FootnoteReference"/>
        </w:rPr>
        <w:footnoteReference w:id="95"/>
      </w:r>
    </w:p>
    <w:p w14:paraId="465E7B18" w14:textId="77777777" w:rsidR="004F5786" w:rsidRPr="008E13E3" w:rsidRDefault="004F5786" w:rsidP="005C5320">
      <w:pPr>
        <w:pStyle w:val="Heading3"/>
      </w:pPr>
      <w:r w:rsidRPr="008E13E3">
        <w:t xml:space="preserve">Commission </w:t>
      </w:r>
      <w:r w:rsidR="00B21F60" w:rsidRPr="008E13E3">
        <w:t>D</w:t>
      </w:r>
      <w:r w:rsidRPr="008E13E3">
        <w:t>etermination</w:t>
      </w:r>
    </w:p>
    <w:p w14:paraId="31A516B2" w14:textId="77777777" w:rsidR="00DC54D8" w:rsidRPr="008E13E3" w:rsidRDefault="00DC54D8" w:rsidP="00DC54D8">
      <w:pPr>
        <w:pStyle w:val="FERCparanumber"/>
      </w:pPr>
      <w:r w:rsidRPr="008E13E3">
        <w:t xml:space="preserve">Consistent with </w:t>
      </w:r>
      <w:r w:rsidRPr="008E13E3">
        <w:rPr>
          <w:i/>
        </w:rPr>
        <w:t>Dayton</w:t>
      </w:r>
      <w:r w:rsidRPr="008E13E3">
        <w:t>,</w:t>
      </w:r>
      <w:r w:rsidR="00D1264E" w:rsidRPr="008E13E3">
        <w:rPr>
          <w:rStyle w:val="FootnoteReference"/>
        </w:rPr>
        <w:footnoteReference w:id="96"/>
      </w:r>
      <w:r w:rsidRPr="008E13E3">
        <w:t xml:space="preserve"> we find that California Public Utilities Code section 362</w:t>
      </w:r>
      <w:r w:rsidR="00890907" w:rsidRPr="008E13E3">
        <w:t>(c)</w:t>
      </w:r>
      <w:r w:rsidRPr="008E13E3">
        <w:t xml:space="preserve"> is not preempted by the FPA. </w:t>
      </w:r>
    </w:p>
    <w:p w14:paraId="25646F60" w14:textId="77777777" w:rsidR="00DC1235" w:rsidRPr="008E13E3" w:rsidRDefault="00DC1235" w:rsidP="00314024">
      <w:pPr>
        <w:pStyle w:val="Heading4"/>
      </w:pPr>
      <w:r w:rsidRPr="008E13E3">
        <w:lastRenderedPageBreak/>
        <w:t>Field Preemption</w:t>
      </w:r>
    </w:p>
    <w:p w14:paraId="19117F02" w14:textId="77777777" w:rsidR="00314024" w:rsidRPr="008E13E3" w:rsidRDefault="00314024" w:rsidP="00314024">
      <w:pPr>
        <w:pStyle w:val="FERCparanumber"/>
      </w:pPr>
      <w:r w:rsidRPr="008E13E3">
        <w:t>First, we address whether section 362</w:t>
      </w:r>
      <w:r w:rsidR="00890907" w:rsidRPr="008E13E3">
        <w:t>(c)</w:t>
      </w:r>
      <w:r w:rsidRPr="008E13E3">
        <w:t xml:space="preserve"> is field preempted.  Field preemption exists where Congress legislates broadly enough “to occupy an entire field of regulation, leaving no room for the States to supplement federal law.”</w:t>
      </w:r>
      <w:r w:rsidRPr="008E13E3">
        <w:rPr>
          <w:b/>
          <w:vertAlign w:val="superscript"/>
        </w:rPr>
        <w:footnoteReference w:id="97"/>
      </w:r>
      <w:r w:rsidRPr="008E13E3">
        <w:t xml:space="preserve">  The core question is whether the “scheme of federal regulation” is “so pervasive as to make reasonable the inference that Congress left no room to supplement it.”</w:t>
      </w:r>
      <w:r w:rsidRPr="008E13E3">
        <w:rPr>
          <w:b/>
          <w:vertAlign w:val="superscript"/>
        </w:rPr>
        <w:footnoteReference w:id="98"/>
      </w:r>
      <w:r w:rsidRPr="008E13E3">
        <w:t xml:space="preserve">  </w:t>
      </w:r>
      <w:r w:rsidR="001A7A13" w:rsidRPr="008E13E3">
        <w:t>California IOUs</w:t>
      </w:r>
      <w:r w:rsidRPr="008E13E3">
        <w:t>, which bear the burden of demonstrating preemption,</w:t>
      </w:r>
      <w:r w:rsidRPr="008E13E3">
        <w:rPr>
          <w:b/>
          <w:vertAlign w:val="superscript"/>
        </w:rPr>
        <w:footnoteReference w:id="99"/>
      </w:r>
      <w:r w:rsidRPr="008E13E3">
        <w:t xml:space="preserve"> rely on the FPA and </w:t>
      </w:r>
      <w:r w:rsidRPr="008E13E3">
        <w:rPr>
          <w:i/>
        </w:rPr>
        <w:t>Hughes</w:t>
      </w:r>
      <w:r w:rsidRPr="008E13E3">
        <w:t xml:space="preserve"> to support their arguments, but neither demonstrates that Congress preempted the entire field of interstate energy transmission.</w:t>
      </w:r>
    </w:p>
    <w:p w14:paraId="4F422DFE" w14:textId="77777777" w:rsidR="00F65E42" w:rsidRPr="008E13E3" w:rsidRDefault="00314024" w:rsidP="008A175B">
      <w:pPr>
        <w:pStyle w:val="FERCparanumber"/>
      </w:pPr>
      <w:r w:rsidRPr="008E13E3">
        <w:t xml:space="preserve">FPA section 201(b)(1), cited by </w:t>
      </w:r>
      <w:r w:rsidR="001A7A13" w:rsidRPr="008E13E3">
        <w:t>California IOUs</w:t>
      </w:r>
      <w:r w:rsidRPr="008E13E3">
        <w:t>, recognizes states’ role in transmission regulation.  It authorize</w:t>
      </w:r>
      <w:r w:rsidR="002F41A4" w:rsidRPr="008E13E3">
        <w:t>s</w:t>
      </w:r>
      <w:r w:rsidRPr="008E13E3">
        <w:t xml:space="preserve"> the Commission’s oversight “over all facilities for such transmission or sale of electric energy,” while restricting its authority over “facilities used for the generation of electrical energy,” “local distribution,” “</w:t>
      </w:r>
      <w:r w:rsidR="00507EDA" w:rsidRPr="008E13E3">
        <w:t xml:space="preserve">only for </w:t>
      </w:r>
      <w:r w:rsidRPr="008E13E3">
        <w:t xml:space="preserve">transmission </w:t>
      </w:r>
      <w:r w:rsidR="002F41A4" w:rsidRPr="008E13E3">
        <w:t>.</w:t>
      </w:r>
      <w:r w:rsidR="00B74AE8" w:rsidRPr="008E13E3">
        <w:t xml:space="preserve"> </w:t>
      </w:r>
      <w:r w:rsidR="002F41A4" w:rsidRPr="008E13E3">
        <w:t>.</w:t>
      </w:r>
      <w:r w:rsidR="00B74AE8" w:rsidRPr="008E13E3">
        <w:t xml:space="preserve"> </w:t>
      </w:r>
      <w:r w:rsidR="002F41A4" w:rsidRPr="008E13E3">
        <w:t xml:space="preserve">. </w:t>
      </w:r>
      <w:r w:rsidRPr="008E13E3">
        <w:t xml:space="preserve"> in intrastate commerce,” and “transmission of electric energy consumed wholly by the transmitter.”</w:t>
      </w:r>
      <w:r w:rsidRPr="008E13E3">
        <w:rPr>
          <w:b/>
          <w:vertAlign w:val="superscript"/>
        </w:rPr>
        <w:footnoteReference w:id="100"/>
      </w:r>
      <w:r w:rsidRPr="008E13E3">
        <w:t xml:space="preserve">  Furthermore, section 201(a) </w:t>
      </w:r>
      <w:r w:rsidR="00ED2A8A" w:rsidRPr="008E13E3">
        <w:t xml:space="preserve">contains a policy statement recognizing the need for Federal regulation in areas subject to the Commission’s jurisdiction, but also providing that </w:t>
      </w:r>
      <w:r w:rsidRPr="008E13E3">
        <w:t>“</w:t>
      </w:r>
      <w:r w:rsidR="0080406B" w:rsidRPr="008E13E3">
        <w:t>Federal regulation .</w:t>
      </w:r>
      <w:r w:rsidR="00B74AE8" w:rsidRPr="008E13E3">
        <w:t xml:space="preserve"> </w:t>
      </w:r>
      <w:r w:rsidR="0080406B" w:rsidRPr="008E13E3">
        <w:t>.</w:t>
      </w:r>
      <w:r w:rsidR="00B74AE8" w:rsidRPr="008E13E3">
        <w:t xml:space="preserve"> </w:t>
      </w:r>
      <w:r w:rsidR="0080406B" w:rsidRPr="008E13E3">
        <w:t xml:space="preserve">. [is] to extend </w:t>
      </w:r>
      <w:r w:rsidRPr="008E13E3">
        <w:t>only to those matters which are not subject to regulation by the States.”</w:t>
      </w:r>
      <w:r w:rsidRPr="008E13E3">
        <w:rPr>
          <w:b/>
          <w:vertAlign w:val="superscript"/>
        </w:rPr>
        <w:footnoteReference w:id="101"/>
      </w:r>
      <w:r w:rsidRPr="008E13E3">
        <w:t xml:space="preserve">  </w:t>
      </w:r>
      <w:r w:rsidR="00507EDA" w:rsidRPr="008E13E3">
        <w:t xml:space="preserve">As explained in </w:t>
      </w:r>
      <w:r w:rsidR="00507EDA" w:rsidRPr="008E13E3">
        <w:rPr>
          <w:i/>
          <w:iCs/>
        </w:rPr>
        <w:t>Dayton</w:t>
      </w:r>
      <w:r w:rsidR="00507EDA" w:rsidRPr="008E13E3">
        <w:t>, Congress t</w:t>
      </w:r>
      <w:r w:rsidRPr="008E13E3">
        <w:t xml:space="preserve">hus, “explicitly preserved state authority over certain transmission-related areas, including intrastate transmission and facilities supplying electricity to the transmitting entity </w:t>
      </w:r>
      <w:r w:rsidRPr="008E13E3">
        <w:lastRenderedPageBreak/>
        <w:t>itself.”</w:t>
      </w:r>
      <w:r w:rsidRPr="008E13E3">
        <w:rPr>
          <w:b/>
          <w:vertAlign w:val="superscript"/>
        </w:rPr>
        <w:footnoteReference w:id="102"/>
      </w:r>
      <w:r w:rsidR="00F817A4" w:rsidRPr="008E13E3">
        <w:t xml:space="preserve">  </w:t>
      </w:r>
      <w:r w:rsidR="00613259" w:rsidRPr="008E13E3">
        <w:t>The Commission’s jurisdiction over transmission is therefore not exclusive.</w:t>
      </w:r>
      <w:r w:rsidR="0096222B" w:rsidRPr="008E13E3">
        <w:rPr>
          <w:rStyle w:val="FootnoteReference"/>
        </w:rPr>
        <w:footnoteReference w:id="103"/>
      </w:r>
      <w:r w:rsidR="00613259" w:rsidRPr="008E13E3">
        <w:t xml:space="preserve">  Indeed, </w:t>
      </w:r>
      <w:r w:rsidR="001761CD" w:rsidRPr="008E13E3">
        <w:t>courts have recognized that “[t]he states have traditionally assumed all jurisdiction to approve or deny permits for the siting and construction of electric transmission facilities.”</w:t>
      </w:r>
      <w:r w:rsidR="008A175B" w:rsidRPr="008E13E3">
        <w:rPr>
          <w:rStyle w:val="FootnoteReference"/>
        </w:rPr>
        <w:footnoteReference w:id="104"/>
      </w:r>
      <w:r w:rsidR="0003288F" w:rsidRPr="008E13E3">
        <w:t xml:space="preserve">  </w:t>
      </w:r>
    </w:p>
    <w:p w14:paraId="38EB40F1" w14:textId="77777777" w:rsidR="00314024" w:rsidRPr="008E13E3" w:rsidRDefault="00314024" w:rsidP="00314024">
      <w:pPr>
        <w:pStyle w:val="FERCparanumber"/>
      </w:pPr>
      <w:r w:rsidRPr="008E13E3">
        <w:t>California Public Utilities Code section 362</w:t>
      </w:r>
      <w:r w:rsidR="00BB0B74" w:rsidRPr="008E13E3">
        <w:t>(c)</w:t>
      </w:r>
      <w:r w:rsidRPr="008E13E3">
        <w:t xml:space="preserve"> fits within this scheme</w:t>
      </w:r>
      <w:r w:rsidR="00507EDA" w:rsidRPr="008E13E3">
        <w:t xml:space="preserve">, like the Ohio statute at issue in </w:t>
      </w:r>
      <w:r w:rsidR="00507EDA" w:rsidRPr="008E13E3">
        <w:rPr>
          <w:i/>
          <w:iCs/>
        </w:rPr>
        <w:t>Dayton</w:t>
      </w:r>
      <w:r w:rsidR="00507EDA" w:rsidRPr="008E13E3">
        <w:t>,</w:t>
      </w:r>
      <w:r w:rsidRPr="008E13E3">
        <w:t xml:space="preserve"> </w:t>
      </w:r>
      <w:r w:rsidR="007244AD" w:rsidRPr="008E13E3">
        <w:t xml:space="preserve">because </w:t>
      </w:r>
      <w:r w:rsidRPr="008E13E3">
        <w:t xml:space="preserve">it primarily regulates intrastate transmission – an area explicitly reserved </w:t>
      </w:r>
      <w:r w:rsidR="00D17083" w:rsidRPr="008E13E3">
        <w:t xml:space="preserve">to the </w:t>
      </w:r>
      <w:r w:rsidRPr="008E13E3">
        <w:t>states by</w:t>
      </w:r>
      <w:r w:rsidR="00AD5556" w:rsidRPr="008E13E3">
        <w:t xml:space="preserve"> the FPA</w:t>
      </w:r>
      <w:r w:rsidRPr="008E13E3">
        <w:t>.  The California Public Utilities Act, including section 362(c), does not “apply to commerce with foreign nations or to interstate commerce, except as such application is permitted under the Constitution and laws of the United States.”</w:t>
      </w:r>
      <w:r w:rsidRPr="008E13E3">
        <w:rPr>
          <w:b/>
          <w:vertAlign w:val="superscript"/>
        </w:rPr>
        <w:footnoteReference w:id="105"/>
      </w:r>
      <w:r w:rsidRPr="008E13E3">
        <w:t xml:space="preserve">  The legislative findings for the chapter including section 362(c) refer to “the reliability of the delivery of electricity,” “meaningful and immediate rate reductions for residential and small commercial customers,” and state the importance of “sufficient supplies of electric generation” to “maintain the reliable service to the citizens and businesses of the state.”</w:t>
      </w:r>
      <w:r w:rsidRPr="008E13E3">
        <w:rPr>
          <w:b/>
          <w:vertAlign w:val="superscript"/>
        </w:rPr>
        <w:footnoteReference w:id="106"/>
      </w:r>
      <w:r w:rsidRPr="008E13E3">
        <w:t xml:space="preserve">  Section 362</w:t>
      </w:r>
      <w:r w:rsidR="00DD0EA0" w:rsidRPr="008E13E3">
        <w:t>(a)</w:t>
      </w:r>
      <w:r w:rsidRPr="008E13E3">
        <w:t xml:space="preserve"> tasks </w:t>
      </w:r>
      <w:r w:rsidR="00A97C54" w:rsidRPr="008E13E3">
        <w:t xml:space="preserve">the </w:t>
      </w:r>
      <w:r w:rsidRPr="008E13E3">
        <w:t xml:space="preserve">CPUC with ensuring “that facilities needed to maintain the reliability of the electric supply remain available </w:t>
      </w:r>
      <w:r w:rsidRPr="008E13E3">
        <w:lastRenderedPageBreak/>
        <w:t>and operational, consistent with maintaining open competition and avoiding an overconcentration of market power.”</w:t>
      </w:r>
      <w:r w:rsidRPr="008E13E3">
        <w:rPr>
          <w:b/>
          <w:vertAlign w:val="superscript"/>
        </w:rPr>
        <w:footnoteReference w:id="107"/>
      </w:r>
      <w:r w:rsidRPr="008E13E3">
        <w:t xml:space="preserve"> </w:t>
      </w:r>
      <w:r w:rsidR="003531CC" w:rsidRPr="008E13E3">
        <w:t xml:space="preserve"> </w:t>
      </w:r>
      <w:r w:rsidR="000D6024" w:rsidRPr="008E13E3">
        <w:t xml:space="preserve">Taken as a whole, these various statutory sections imply state efforts to improve transmission reliability and efficiency, and to lower costs.  </w:t>
      </w:r>
      <w:r w:rsidRPr="008E13E3">
        <w:t xml:space="preserve">While </w:t>
      </w:r>
      <w:r w:rsidR="000D6024" w:rsidRPr="008E13E3">
        <w:t xml:space="preserve">these </w:t>
      </w:r>
      <w:r w:rsidRPr="008E13E3">
        <w:t>state efforts may affect interstate transmission, “such indirect impacts don’t trigger field preemption.”</w:t>
      </w:r>
      <w:r w:rsidRPr="008E13E3">
        <w:rPr>
          <w:b/>
          <w:vertAlign w:val="superscript"/>
        </w:rPr>
        <w:footnoteReference w:id="108"/>
      </w:r>
      <w:r w:rsidRPr="008E13E3">
        <w:t xml:space="preserve">  </w:t>
      </w:r>
      <w:r w:rsidR="00AC6527" w:rsidRPr="008E13E3">
        <w:t xml:space="preserve">  </w:t>
      </w:r>
    </w:p>
    <w:p w14:paraId="342724F5" w14:textId="77777777" w:rsidR="000405C8" w:rsidRPr="008E13E3" w:rsidRDefault="00314024" w:rsidP="000405C8">
      <w:pPr>
        <w:pStyle w:val="FERCparanumber"/>
      </w:pPr>
      <w:r w:rsidRPr="008E13E3">
        <w:t xml:space="preserve">We further find that </w:t>
      </w:r>
      <w:r w:rsidR="001A7A13" w:rsidRPr="008E13E3">
        <w:t>California IOUs</w:t>
      </w:r>
      <w:r w:rsidRPr="008E13E3">
        <w:t xml:space="preserve">’ reliance on </w:t>
      </w:r>
      <w:r w:rsidRPr="008E13E3">
        <w:rPr>
          <w:i/>
        </w:rPr>
        <w:t>Hughes</w:t>
      </w:r>
      <w:r w:rsidRPr="008E13E3">
        <w:t xml:space="preserve"> is misplaced.  There, the Supreme Court recognized </w:t>
      </w:r>
      <w:bookmarkStart w:id="2" w:name="co_pp_sp_8173_1131_1"/>
      <w:bookmarkEnd w:id="2"/>
      <w:r w:rsidRPr="008E13E3">
        <w:t>that the FPA endows the Commission with “exclusive jurisdiction over wholesale sales of electricity in the interstate market,”</w:t>
      </w:r>
      <w:r w:rsidRPr="008E13E3">
        <w:rPr>
          <w:b/>
          <w:vertAlign w:val="superscript"/>
        </w:rPr>
        <w:footnoteReference w:id="109"/>
      </w:r>
      <w:r w:rsidRPr="008E13E3">
        <w:t xml:space="preserve"> but unlike the instant case, </w:t>
      </w:r>
      <w:r w:rsidRPr="008E13E3">
        <w:rPr>
          <w:i/>
        </w:rPr>
        <w:t>Hughes</w:t>
      </w:r>
      <w:r w:rsidRPr="008E13E3">
        <w:t xml:space="preserve"> addressed a Maryland program that </w:t>
      </w:r>
      <w:r w:rsidR="002B784A" w:rsidRPr="008E13E3">
        <w:t xml:space="preserve">attempted to </w:t>
      </w:r>
      <w:r w:rsidRPr="008E13E3">
        <w:t xml:space="preserve">set </w:t>
      </w:r>
      <w:r w:rsidR="00E94A2D" w:rsidRPr="008E13E3">
        <w:t xml:space="preserve">a rate within the Commission’s exclusive jurisdiction, </w:t>
      </w:r>
      <w:r w:rsidRPr="008E13E3">
        <w:t xml:space="preserve">an interstate wholesale rate.  Maryland’s attempt to indirectly set an interstate wholesale rate is distinct from </w:t>
      </w:r>
      <w:r w:rsidR="00DF4B2B" w:rsidRPr="008E13E3">
        <w:t>section 362</w:t>
      </w:r>
      <w:r w:rsidR="00183CE1" w:rsidRPr="008E13E3">
        <w:t>(c)</w:t>
      </w:r>
      <w:r w:rsidR="003056D2" w:rsidRPr="008E13E3">
        <w:t>, which is</w:t>
      </w:r>
      <w:r w:rsidR="00183CE1" w:rsidRPr="008E13E3">
        <w:t xml:space="preserve"> </w:t>
      </w:r>
      <w:r w:rsidRPr="008E13E3">
        <w:t xml:space="preserve">targeted at areas </w:t>
      </w:r>
      <w:r w:rsidR="003056D2" w:rsidRPr="008E13E3">
        <w:t>within the states’ authority, as discussed above</w:t>
      </w:r>
      <w:r w:rsidRPr="008E13E3">
        <w:t xml:space="preserve">, but which may have incidental </w:t>
      </w:r>
      <w:r w:rsidR="00AB7A4E" w:rsidRPr="008E13E3">
        <w:t xml:space="preserve">effects </w:t>
      </w:r>
      <w:r w:rsidRPr="008E13E3">
        <w:t xml:space="preserve">on interstate </w:t>
      </w:r>
      <w:r w:rsidR="003056D2" w:rsidRPr="008E13E3">
        <w:t xml:space="preserve">transmission matters within the </w:t>
      </w:r>
      <w:r w:rsidR="004C2710" w:rsidRPr="008E13E3">
        <w:t>Commission’s jurisdiction.</w:t>
      </w:r>
      <w:r w:rsidRPr="008E13E3">
        <w:rPr>
          <w:b/>
          <w:vertAlign w:val="superscript"/>
        </w:rPr>
        <w:footnoteReference w:id="110"/>
      </w:r>
      <w:r w:rsidR="002A4ED6" w:rsidRPr="008E13E3">
        <w:t xml:space="preserve"> Indeed, </w:t>
      </w:r>
      <w:r w:rsidR="002A4ED6" w:rsidRPr="008E13E3">
        <w:rPr>
          <w:i/>
          <w:iCs/>
        </w:rPr>
        <w:t xml:space="preserve">Dayton </w:t>
      </w:r>
      <w:r w:rsidR="002A4ED6" w:rsidRPr="008E13E3">
        <w:t xml:space="preserve">noted that </w:t>
      </w:r>
      <w:r w:rsidR="002A4ED6" w:rsidRPr="008E13E3">
        <w:rPr>
          <w:i/>
          <w:iCs/>
        </w:rPr>
        <w:t xml:space="preserve">Hughes </w:t>
      </w:r>
      <w:r w:rsidR="002A4ED6" w:rsidRPr="008E13E3">
        <w:t>“recognized cooperative federalism in the field of energy transmission outside of wholesale ratemaking, explicitly rejecting the notion that FERC is the sole regulator.”</w:t>
      </w:r>
      <w:r w:rsidR="002A4ED6" w:rsidRPr="008E13E3">
        <w:rPr>
          <w:b/>
          <w:vertAlign w:val="superscript"/>
        </w:rPr>
        <w:footnoteReference w:id="111"/>
      </w:r>
      <w:r w:rsidR="002A4ED6" w:rsidRPr="008E13E3">
        <w:rPr>
          <w:u w:val="single"/>
        </w:rPr>
        <w:t xml:space="preserve">  </w:t>
      </w:r>
      <w:r w:rsidR="00B5342D" w:rsidRPr="008E13E3">
        <w:t xml:space="preserve">  </w:t>
      </w:r>
      <w:r w:rsidR="00051153" w:rsidRPr="008E13E3">
        <w:t xml:space="preserve">  </w:t>
      </w:r>
    </w:p>
    <w:p w14:paraId="5CC1A8D0" w14:textId="77777777" w:rsidR="00314024" w:rsidRPr="008E13E3" w:rsidRDefault="00314024" w:rsidP="00314024">
      <w:pPr>
        <w:pStyle w:val="Heading4"/>
      </w:pPr>
      <w:r w:rsidRPr="008E13E3">
        <w:t>Conflict Preemption</w:t>
      </w:r>
    </w:p>
    <w:p w14:paraId="0C761D4A" w14:textId="77777777" w:rsidR="00314024" w:rsidRPr="008E13E3" w:rsidRDefault="00314024" w:rsidP="00314024">
      <w:pPr>
        <w:pStyle w:val="FERCparanumber"/>
      </w:pPr>
      <w:r w:rsidRPr="008E13E3">
        <w:t>Turning to conflict preemption, state law conflicts with federal law if “it is impossible for a private party to comply with both state and federal law” or if the state law is “an obstacle to the accomplishment and execution of the full purposes and objectives of Congress.”</w:t>
      </w:r>
      <w:r w:rsidRPr="008E13E3">
        <w:rPr>
          <w:b/>
          <w:vertAlign w:val="superscript"/>
        </w:rPr>
        <w:footnoteReference w:id="112"/>
      </w:r>
      <w:r w:rsidRPr="008E13E3">
        <w:t xml:space="preserve">  </w:t>
      </w:r>
      <w:r w:rsidR="001A7A13" w:rsidRPr="008E13E3">
        <w:t>California IOUs</w:t>
      </w:r>
      <w:r w:rsidRPr="008E13E3">
        <w:t>’ continued participation in CAISO, a Commission-approved RTO, demonstrates that compliance with both section 362</w:t>
      </w:r>
      <w:r w:rsidR="002238A0" w:rsidRPr="008E13E3">
        <w:t>(c)</w:t>
      </w:r>
      <w:r w:rsidRPr="008E13E3">
        <w:t xml:space="preserve"> and the FPA is possible. </w:t>
      </w:r>
      <w:r w:rsidR="00B655D0" w:rsidRPr="008E13E3">
        <w:t xml:space="preserve"> </w:t>
      </w:r>
      <w:r w:rsidRPr="008E13E3">
        <w:t xml:space="preserve">The question, then, is whether California’s law stands as an obstacle </w:t>
      </w:r>
      <w:r w:rsidRPr="008E13E3">
        <w:lastRenderedPageBreak/>
        <w:t>to federal law or frustrates its purpose.</w:t>
      </w:r>
      <w:r w:rsidR="00B655D0" w:rsidRPr="008E13E3">
        <w:rPr>
          <w:rStyle w:val="FootnoteReference"/>
        </w:rPr>
        <w:t xml:space="preserve"> </w:t>
      </w:r>
      <w:r w:rsidR="00B655D0" w:rsidRPr="008E13E3">
        <w:rPr>
          <w:rStyle w:val="FootnoteReference"/>
        </w:rPr>
        <w:footnoteReference w:id="113"/>
      </w:r>
      <w:r w:rsidR="00B655D0" w:rsidRPr="008E13E3">
        <w:t xml:space="preserve"> </w:t>
      </w:r>
      <w:r w:rsidRPr="008E13E3">
        <w:t xml:space="preserve"> In </w:t>
      </w:r>
      <w:r w:rsidRPr="008E13E3">
        <w:rPr>
          <w:i/>
        </w:rPr>
        <w:t>Dayton</w:t>
      </w:r>
      <w:r w:rsidRPr="008E13E3">
        <w:t>, the court explained that it would examine whether, considering state law, the “purpose of the act cannot otherwise be accomplished,”</w:t>
      </w:r>
      <w:r w:rsidRPr="008E13E3">
        <w:rPr>
          <w:b/>
          <w:vertAlign w:val="superscript"/>
        </w:rPr>
        <w:footnoteReference w:id="114"/>
      </w:r>
      <w:r w:rsidRPr="008E13E3">
        <w:t xml:space="preserve"> and whether state laws “directly interfere[] with the operation” of a federal program.</w:t>
      </w:r>
      <w:r w:rsidRPr="008E13E3">
        <w:rPr>
          <w:b/>
          <w:vertAlign w:val="superscript"/>
        </w:rPr>
        <w:footnoteReference w:id="115"/>
      </w:r>
      <w:r w:rsidRPr="008E13E3">
        <w:t xml:space="preserve">  The court further explained that finding obstacle preemption requires meeting “a high threshold.”</w:t>
      </w:r>
      <w:r w:rsidRPr="008E13E3">
        <w:rPr>
          <w:b/>
          <w:vertAlign w:val="superscript"/>
        </w:rPr>
        <w:footnoteReference w:id="116"/>
      </w:r>
      <w:r w:rsidRPr="008E13E3">
        <w:rPr>
          <w:b/>
        </w:rPr>
        <w:t xml:space="preserve"> </w:t>
      </w:r>
    </w:p>
    <w:p w14:paraId="2A4E5EAD" w14:textId="77777777" w:rsidR="00A05A1E" w:rsidRPr="008E13E3" w:rsidRDefault="007A0BE2" w:rsidP="00314024">
      <w:pPr>
        <w:pStyle w:val="FERCparanumber"/>
      </w:pPr>
      <w:r w:rsidRPr="008E13E3">
        <w:t>Moreover, a</w:t>
      </w:r>
      <w:r w:rsidR="00314024" w:rsidRPr="008E13E3">
        <w:t>s discussed further below, one of Congress’ purposes in enacting FPA section 219 was increasing membership in RTOs, and</w:t>
      </w:r>
      <w:r w:rsidR="00C21EFA" w:rsidRPr="008E13E3">
        <w:t xml:space="preserve">, like the Ohio law in </w:t>
      </w:r>
      <w:r w:rsidR="00C21EFA" w:rsidRPr="008E13E3">
        <w:rPr>
          <w:i/>
          <w:iCs/>
        </w:rPr>
        <w:t>Dayton</w:t>
      </w:r>
      <w:r w:rsidR="00C21EFA" w:rsidRPr="008E13E3">
        <w:t>,</w:t>
      </w:r>
      <w:r w:rsidR="00314024" w:rsidRPr="008E13E3">
        <w:t xml:space="preserve"> section 362</w:t>
      </w:r>
      <w:r w:rsidR="00D66AD3" w:rsidRPr="008E13E3">
        <w:t>(c)</w:t>
      </w:r>
      <w:r w:rsidR="00314024" w:rsidRPr="008E13E3">
        <w:t xml:space="preserve"> </w:t>
      </w:r>
      <w:r w:rsidR="00C21EFA" w:rsidRPr="008E13E3">
        <w:t>“</w:t>
      </w:r>
      <w:r w:rsidR="00314024" w:rsidRPr="008E13E3">
        <w:t>does precisely that.</w:t>
      </w:r>
      <w:r w:rsidR="00C21EFA" w:rsidRPr="008E13E3">
        <w:t>”</w:t>
      </w:r>
      <w:r w:rsidR="00C21EFA" w:rsidRPr="008E13E3">
        <w:rPr>
          <w:rStyle w:val="FootnoteReference"/>
        </w:rPr>
        <w:footnoteReference w:id="117"/>
      </w:r>
      <w:r w:rsidR="00314024" w:rsidRPr="008E13E3">
        <w:t xml:space="preserve">  </w:t>
      </w:r>
      <w:r w:rsidR="001A7A13" w:rsidRPr="008E13E3">
        <w:t>California IOUs</w:t>
      </w:r>
      <w:r w:rsidR="00314024" w:rsidRPr="008E13E3">
        <w:t xml:space="preserve"> argue that because section 362</w:t>
      </w:r>
      <w:r w:rsidR="00D66AD3" w:rsidRPr="008E13E3">
        <w:t>(c)</w:t>
      </w:r>
      <w:r w:rsidR="00314024" w:rsidRPr="008E13E3">
        <w:t xml:space="preserve">’s requirement conflicts with the voluntary scheme Congress created, California’s law is preempted, and that the Commission’s interpretation of section 362(c) would frustrate the federal model of voluntary membership in </w:t>
      </w:r>
      <w:r w:rsidR="00154348" w:rsidRPr="008E13E3">
        <w:t>RTOs</w:t>
      </w:r>
      <w:r w:rsidR="00314024" w:rsidRPr="008E13E3">
        <w:t>.</w:t>
      </w:r>
      <w:r w:rsidR="00314024" w:rsidRPr="008E13E3">
        <w:rPr>
          <w:b/>
          <w:vertAlign w:val="superscript"/>
        </w:rPr>
        <w:footnoteReference w:id="118"/>
      </w:r>
      <w:r w:rsidR="00314024" w:rsidRPr="008E13E3">
        <w:t xml:space="preserve">  </w:t>
      </w:r>
      <w:r w:rsidR="001A7A13" w:rsidRPr="008E13E3">
        <w:t>California IOUs</w:t>
      </w:r>
      <w:r w:rsidR="00314024" w:rsidRPr="008E13E3">
        <w:t xml:space="preserve"> fail to show that Congress “wanted to pursue” its voluntary model at “all costs,” or at the least at the expense of state law.</w:t>
      </w:r>
      <w:r w:rsidR="00314024" w:rsidRPr="008E13E3">
        <w:rPr>
          <w:b/>
          <w:vertAlign w:val="superscript"/>
        </w:rPr>
        <w:footnoteReference w:id="119"/>
      </w:r>
      <w:r w:rsidR="00314024" w:rsidRPr="008E13E3">
        <w:t xml:space="preserve">  As the court found in </w:t>
      </w:r>
      <w:r w:rsidR="00314024" w:rsidRPr="008E13E3">
        <w:rPr>
          <w:i/>
        </w:rPr>
        <w:t>Dayton</w:t>
      </w:r>
      <w:r w:rsidR="00314024" w:rsidRPr="008E13E3">
        <w:t>, “Congress’s decision not to mandate RTO membership federally doesn’t necessarily imply an intent to prevent states from imposing such requirements, especially when the state laws further Congress’s overall goal of increasing RTO participation.”</w:t>
      </w:r>
      <w:r w:rsidR="00314024" w:rsidRPr="008E13E3">
        <w:rPr>
          <w:b/>
          <w:vertAlign w:val="superscript"/>
        </w:rPr>
        <w:footnoteReference w:id="120"/>
      </w:r>
      <w:r w:rsidR="00314024" w:rsidRPr="008E13E3">
        <w:t xml:space="preserve">  We therefore find that section 362</w:t>
      </w:r>
      <w:r w:rsidR="00D66AD3" w:rsidRPr="008E13E3">
        <w:t>(c)</w:t>
      </w:r>
      <w:r w:rsidR="00314024" w:rsidRPr="008E13E3">
        <w:t xml:space="preserve"> is not conflict preempted.  </w:t>
      </w:r>
      <w:r w:rsidR="00E17597" w:rsidRPr="008E13E3">
        <w:t xml:space="preserve"> </w:t>
      </w:r>
    </w:p>
    <w:p w14:paraId="1B92CE91" w14:textId="77777777" w:rsidR="004F5786" w:rsidRPr="008E13E3" w:rsidRDefault="004F5786" w:rsidP="005C5320">
      <w:pPr>
        <w:pStyle w:val="Heading2"/>
      </w:pPr>
      <w:r w:rsidRPr="008E13E3">
        <w:t xml:space="preserve">Whether </w:t>
      </w:r>
      <w:r w:rsidR="00382E48" w:rsidRPr="008E13E3">
        <w:t>the Commission Contravened FPA Section 219(c)</w:t>
      </w:r>
    </w:p>
    <w:p w14:paraId="6A0B6199" w14:textId="77777777" w:rsidR="004F5786" w:rsidRPr="008E13E3" w:rsidRDefault="004F5786" w:rsidP="005C5320">
      <w:pPr>
        <w:pStyle w:val="Heading3"/>
      </w:pPr>
      <w:r w:rsidRPr="008E13E3">
        <w:t>Rehearing Request</w:t>
      </w:r>
    </w:p>
    <w:p w14:paraId="51AC0B04" w14:textId="77777777" w:rsidR="00685B42" w:rsidRPr="008E13E3" w:rsidRDefault="001A7A13" w:rsidP="00685B42">
      <w:pPr>
        <w:pStyle w:val="FERCparanumber"/>
      </w:pPr>
      <w:r w:rsidRPr="008E13E3">
        <w:t>California IOUs</w:t>
      </w:r>
      <w:r w:rsidR="000A6095" w:rsidRPr="008E13E3">
        <w:t xml:space="preserve"> </w:t>
      </w:r>
      <w:r w:rsidR="006F584B" w:rsidRPr="008E13E3">
        <w:t xml:space="preserve">argue that the Commission failed to adequately address </w:t>
      </w:r>
      <w:r w:rsidR="00566802" w:rsidRPr="008E13E3">
        <w:t xml:space="preserve">SDG&amp;E’s </w:t>
      </w:r>
      <w:r w:rsidR="006F584B" w:rsidRPr="008E13E3">
        <w:t xml:space="preserve">arguments that the Commission’s denial of SDG&amp;E’s RTO Adder violates </w:t>
      </w:r>
      <w:r w:rsidR="004D48EE" w:rsidRPr="008E13E3">
        <w:t>FPA section 219(c).</w:t>
      </w:r>
      <w:r w:rsidR="006412B2" w:rsidRPr="008E13E3">
        <w:t xml:space="preserve"> </w:t>
      </w:r>
      <w:r w:rsidR="00DC0515" w:rsidRPr="008E13E3">
        <w:t xml:space="preserve"> </w:t>
      </w:r>
      <w:r w:rsidRPr="008E13E3">
        <w:t>California IOUs</w:t>
      </w:r>
      <w:r w:rsidR="006412B2" w:rsidRPr="008E13E3">
        <w:t xml:space="preserve"> </w:t>
      </w:r>
      <w:r w:rsidR="00144236" w:rsidRPr="008E13E3">
        <w:t xml:space="preserve">contend </w:t>
      </w:r>
      <w:r w:rsidR="006412B2" w:rsidRPr="008E13E3">
        <w:t xml:space="preserve">that both the Commission (in the </w:t>
      </w:r>
      <w:r w:rsidR="004C3B1B" w:rsidRPr="008E13E3">
        <w:t>PG&amp;E Adder Order</w:t>
      </w:r>
      <w:r w:rsidR="006412B2" w:rsidRPr="008E13E3">
        <w:t xml:space="preserve"> </w:t>
      </w:r>
      <w:r w:rsidR="006412B2" w:rsidRPr="008E13E3">
        <w:lastRenderedPageBreak/>
        <w:t xml:space="preserve">and </w:t>
      </w:r>
      <w:r w:rsidR="004C3B1B" w:rsidRPr="008E13E3">
        <w:t>PG&amp;E Adder Rehearing Order</w:t>
      </w:r>
      <w:r w:rsidR="006412B2" w:rsidRPr="008E13E3">
        <w:t xml:space="preserve">) and the Sixth Circuit (in </w:t>
      </w:r>
      <w:r w:rsidR="006412B2" w:rsidRPr="008E13E3">
        <w:rPr>
          <w:i/>
          <w:iCs/>
        </w:rPr>
        <w:t>Dayton</w:t>
      </w:r>
      <w:r w:rsidR="006412B2" w:rsidRPr="008E13E3">
        <w:t xml:space="preserve">) </w:t>
      </w:r>
      <w:r w:rsidR="00A40ACF" w:rsidRPr="008E13E3">
        <w:t>have misconstrued FPA section 219(c).</w:t>
      </w:r>
      <w:r w:rsidR="00DC0515" w:rsidRPr="008E13E3">
        <w:rPr>
          <w:rStyle w:val="FootnoteReference"/>
        </w:rPr>
        <w:footnoteReference w:id="121"/>
      </w:r>
      <w:r w:rsidR="00A25AAA" w:rsidRPr="008E13E3">
        <w:t xml:space="preserve">  </w:t>
      </w:r>
      <w:r w:rsidR="00D63D40" w:rsidRPr="008E13E3">
        <w:t xml:space="preserve">According to </w:t>
      </w:r>
      <w:r w:rsidRPr="008E13E3">
        <w:t>California IOUs</w:t>
      </w:r>
      <w:r w:rsidR="00D63D40" w:rsidRPr="008E13E3">
        <w:t>, section 219(c)</w:t>
      </w:r>
      <w:r w:rsidR="00685B42" w:rsidRPr="008E13E3">
        <w:t xml:space="preserve"> does not limit the adder’s availability to utilities that voluntarily participate in RTOs; rather, they assert that </w:t>
      </w:r>
      <w:r w:rsidR="004F68A8" w:rsidRPr="008E13E3">
        <w:t>it</w:t>
      </w:r>
      <w:r w:rsidR="00685B42" w:rsidRPr="008E13E3">
        <w:t xml:space="preserve"> </w:t>
      </w:r>
      <w:r w:rsidR="004F68A8" w:rsidRPr="008E13E3">
        <w:t>requires</w:t>
      </w:r>
      <w:r w:rsidR="00685B42" w:rsidRPr="008E13E3">
        <w:t xml:space="preserve"> that the Commission “shall . . . provide for incentives </w:t>
      </w:r>
      <w:r w:rsidR="00685B42" w:rsidRPr="008E13E3">
        <w:rPr>
          <w:i/>
        </w:rPr>
        <w:t>to each</w:t>
      </w:r>
      <w:r w:rsidR="00685B42" w:rsidRPr="008E13E3">
        <w:t xml:space="preserve"> transmitting utility or electric utility </w:t>
      </w:r>
      <w:r w:rsidR="00685B42" w:rsidRPr="008E13E3">
        <w:rPr>
          <w:i/>
        </w:rPr>
        <w:t>that joins</w:t>
      </w:r>
      <w:r w:rsidR="00685B42" w:rsidRPr="008E13E3">
        <w:t xml:space="preserve"> a Transmission Organization.”</w:t>
      </w:r>
      <w:r w:rsidR="00685B42" w:rsidRPr="008E13E3">
        <w:rPr>
          <w:rStyle w:val="FootnoteReference"/>
        </w:rPr>
        <w:footnoteReference w:id="122"/>
      </w:r>
      <w:r w:rsidR="00685B42" w:rsidRPr="008E13E3">
        <w:rPr>
          <w:szCs w:val="24"/>
        </w:rPr>
        <w:t xml:space="preserve">  </w:t>
      </w:r>
      <w:r w:rsidRPr="008E13E3">
        <w:rPr>
          <w:szCs w:val="24"/>
        </w:rPr>
        <w:t>California IOUs</w:t>
      </w:r>
      <w:r w:rsidR="00685B42" w:rsidRPr="008E13E3">
        <w:rPr>
          <w:szCs w:val="24"/>
        </w:rPr>
        <w:t xml:space="preserve"> argue that, b</w:t>
      </w:r>
      <w:r w:rsidR="00685B42" w:rsidRPr="008E13E3">
        <w:rPr>
          <w:szCs w:val="26"/>
        </w:rPr>
        <w:t>y its terms, section 219(c) awards the adder to all utilities that join regardless of whether a state passes a law purporting to make participation involuntary.</w:t>
      </w:r>
      <w:r w:rsidR="00685B42" w:rsidRPr="008E13E3">
        <w:rPr>
          <w:rStyle w:val="FootnoteReference"/>
          <w:szCs w:val="26"/>
        </w:rPr>
        <w:footnoteReference w:id="123"/>
      </w:r>
      <w:r w:rsidR="00685B42" w:rsidRPr="008E13E3">
        <w:rPr>
          <w:szCs w:val="26"/>
        </w:rPr>
        <w:t xml:space="preserve"> </w:t>
      </w:r>
    </w:p>
    <w:p w14:paraId="502F6986" w14:textId="77777777" w:rsidR="00685B42" w:rsidRPr="008E13E3" w:rsidRDefault="001A7A13" w:rsidP="00685B42">
      <w:pPr>
        <w:pStyle w:val="FERCparanumber"/>
        <w:rPr>
          <w:szCs w:val="24"/>
        </w:rPr>
      </w:pPr>
      <w:r w:rsidRPr="008E13E3">
        <w:rPr>
          <w:szCs w:val="24"/>
        </w:rPr>
        <w:t>California IOUs</w:t>
      </w:r>
      <w:r w:rsidR="00685B42" w:rsidRPr="008E13E3">
        <w:rPr>
          <w:szCs w:val="24"/>
        </w:rPr>
        <w:t xml:space="preserve"> contend that the Commission ignores section 219(c)’s text beyond the word “incentive”—and that this word does not support the Commission’s position.  </w:t>
      </w:r>
      <w:r w:rsidRPr="008E13E3">
        <w:rPr>
          <w:szCs w:val="24"/>
        </w:rPr>
        <w:t>California IOUs</w:t>
      </w:r>
      <w:r w:rsidR="00685B42" w:rsidRPr="008E13E3">
        <w:rPr>
          <w:szCs w:val="24"/>
        </w:rPr>
        <w:t xml:space="preserve"> state that, first, section 219(c) states that the Commission “shall” provide the RTO Adder to covered </w:t>
      </w:r>
      <w:proofErr w:type="gramStart"/>
      <w:r w:rsidR="00685B42" w:rsidRPr="008E13E3">
        <w:rPr>
          <w:szCs w:val="24"/>
        </w:rPr>
        <w:t>utilities, and</w:t>
      </w:r>
      <w:proofErr w:type="gramEnd"/>
      <w:r w:rsidR="00685B42" w:rsidRPr="008E13E3">
        <w:rPr>
          <w:szCs w:val="24"/>
        </w:rPr>
        <w:t xml:space="preserve"> argue that the use of “shall” is unqualified and imposes a mandatory duty precluding the Commission from withholding the incentive Congress required it to provide.  Second, </w:t>
      </w:r>
      <w:r w:rsidRPr="008E13E3">
        <w:rPr>
          <w:szCs w:val="24"/>
        </w:rPr>
        <w:t>California IOUs</w:t>
      </w:r>
      <w:r w:rsidR="00685B42" w:rsidRPr="008E13E3">
        <w:rPr>
          <w:szCs w:val="24"/>
        </w:rPr>
        <w:t xml:space="preserve"> assert that section 219(c) specifies that the incentive must be provided “to each” covered utility.  Third, </w:t>
      </w:r>
      <w:r w:rsidRPr="008E13E3">
        <w:rPr>
          <w:szCs w:val="24"/>
        </w:rPr>
        <w:t>California IOUs</w:t>
      </w:r>
      <w:r w:rsidR="00685B42" w:rsidRPr="008E13E3">
        <w:rPr>
          <w:szCs w:val="24"/>
        </w:rPr>
        <w:t xml:space="preserve"> state that section 219(c) provides that the incentive is available to each utility “that joins” an RTO, which they argue makes clear that its availability does not turn on why the utility participates.  </w:t>
      </w:r>
      <w:r w:rsidRPr="008E13E3">
        <w:rPr>
          <w:szCs w:val="24"/>
        </w:rPr>
        <w:t>California IOUs</w:t>
      </w:r>
      <w:r w:rsidR="00685B42" w:rsidRPr="008E13E3">
        <w:rPr>
          <w:szCs w:val="24"/>
        </w:rPr>
        <w:t xml:space="preserve"> assert that the Commission </w:t>
      </w:r>
      <w:r w:rsidR="000D1C9F" w:rsidRPr="008E13E3">
        <w:rPr>
          <w:szCs w:val="24"/>
        </w:rPr>
        <w:t>and Sixth Circuit</w:t>
      </w:r>
      <w:r w:rsidR="00685B42" w:rsidRPr="008E13E3">
        <w:rPr>
          <w:szCs w:val="24"/>
        </w:rPr>
        <w:t xml:space="preserve"> effectively read section 219(c) to require an RTO Adder for utilities that “elect to join” an RTO, when the statute itself contains no such limitation.</w:t>
      </w:r>
      <w:r w:rsidR="00685B42" w:rsidRPr="008E13E3">
        <w:rPr>
          <w:rStyle w:val="FootnoteReference"/>
          <w:szCs w:val="24"/>
        </w:rPr>
        <w:footnoteReference w:id="124"/>
      </w:r>
      <w:r w:rsidR="006500F0" w:rsidRPr="008E13E3">
        <w:rPr>
          <w:szCs w:val="24"/>
        </w:rPr>
        <w:t xml:space="preserve">  </w:t>
      </w:r>
      <w:r w:rsidR="006500F0" w:rsidRPr="008E13E3">
        <w:t xml:space="preserve">According to </w:t>
      </w:r>
      <w:r w:rsidRPr="008E13E3">
        <w:t>California IOUs</w:t>
      </w:r>
      <w:r w:rsidR="006500F0" w:rsidRPr="008E13E3">
        <w:t xml:space="preserve">, the definitions of “join” cited in </w:t>
      </w:r>
      <w:r w:rsidR="006500F0" w:rsidRPr="008E13E3">
        <w:rPr>
          <w:i/>
          <w:iCs/>
        </w:rPr>
        <w:t>Dayton</w:t>
      </w:r>
      <w:r w:rsidR="006500F0" w:rsidRPr="008E13E3">
        <w:t xml:space="preserve"> do not require voluntariness, and the Sixth Circuit erred in finding that the word “joins” connotes voluntariness.</w:t>
      </w:r>
      <w:r w:rsidR="006500F0" w:rsidRPr="008E13E3">
        <w:rPr>
          <w:rStyle w:val="FootnoteReference"/>
        </w:rPr>
        <w:footnoteReference w:id="125"/>
      </w:r>
      <w:r w:rsidR="006500F0" w:rsidRPr="008E13E3">
        <w:t xml:space="preserve">  </w:t>
      </w:r>
    </w:p>
    <w:p w14:paraId="45F0280D" w14:textId="77777777" w:rsidR="00685B42" w:rsidRPr="008E13E3" w:rsidRDefault="001A7A13" w:rsidP="00685B42">
      <w:pPr>
        <w:pStyle w:val="FERCparanumber"/>
        <w:rPr>
          <w:szCs w:val="24"/>
        </w:rPr>
      </w:pPr>
      <w:r w:rsidRPr="008E13E3">
        <w:t>California IOUs</w:t>
      </w:r>
      <w:r w:rsidR="00685B42" w:rsidRPr="008E13E3">
        <w:t xml:space="preserve"> argue that</w:t>
      </w:r>
      <w:r w:rsidR="002D385C" w:rsidRPr="008E13E3">
        <w:t xml:space="preserve"> both</w:t>
      </w:r>
      <w:r w:rsidR="00685B42" w:rsidRPr="008E13E3">
        <w:t xml:space="preserve"> the Commission </w:t>
      </w:r>
      <w:r w:rsidR="002D385C" w:rsidRPr="008E13E3">
        <w:t xml:space="preserve">and </w:t>
      </w:r>
      <w:r w:rsidR="0062333A" w:rsidRPr="008E13E3">
        <w:t>Sixth Circuit</w:t>
      </w:r>
      <w:r w:rsidR="00685B42" w:rsidRPr="008E13E3">
        <w:t xml:space="preserve"> focuse</w:t>
      </w:r>
      <w:r w:rsidR="0062333A" w:rsidRPr="008E13E3">
        <w:t>d</w:t>
      </w:r>
      <w:r w:rsidR="00685B42" w:rsidRPr="008E13E3">
        <w:t xml:space="preserve"> on the word “incentive,” arguing that, because incentives induce desired behavior, utilities cannot receive the adder when state law mandates RTO participation.</w:t>
      </w:r>
      <w:r w:rsidR="00685B42" w:rsidRPr="008E13E3">
        <w:rPr>
          <w:rStyle w:val="FootnoteReference"/>
        </w:rPr>
        <w:footnoteReference w:id="126"/>
      </w:r>
      <w:r w:rsidR="00685B42" w:rsidRPr="008E13E3">
        <w:t xml:space="preserve">  </w:t>
      </w:r>
      <w:r w:rsidRPr="008E13E3">
        <w:t>California IOUs</w:t>
      </w:r>
      <w:r w:rsidR="00685B42" w:rsidRPr="008E13E3">
        <w:t xml:space="preserve"> assert that section 219(c) does induce desired behavior because it seeks to induce increased investment in transmission.</w:t>
      </w:r>
      <w:r w:rsidR="00685B42" w:rsidRPr="008E13E3">
        <w:rPr>
          <w:szCs w:val="24"/>
        </w:rPr>
        <w:t xml:space="preserve">  </w:t>
      </w:r>
      <w:r w:rsidR="001552DD" w:rsidRPr="008E13E3">
        <w:rPr>
          <w:szCs w:val="24"/>
        </w:rPr>
        <w:t>They argue</w:t>
      </w:r>
      <w:r w:rsidR="00685B42" w:rsidRPr="008E13E3">
        <w:rPr>
          <w:szCs w:val="24"/>
        </w:rPr>
        <w:t xml:space="preserve"> that, v</w:t>
      </w:r>
      <w:r w:rsidR="00685B42" w:rsidRPr="008E13E3">
        <w:rPr>
          <w:szCs w:val="26"/>
        </w:rPr>
        <w:t xml:space="preserve">ia section 219(c), Congress created a special incentive to drive transmission investment by RTO members in particular because it recognized that RTOs are effective in encouraging well-designed transmission investments and deploying transmission infrastructure.  </w:t>
      </w:r>
      <w:r w:rsidRPr="008E13E3">
        <w:rPr>
          <w:szCs w:val="26"/>
        </w:rPr>
        <w:t>California IOUs</w:t>
      </w:r>
      <w:r w:rsidR="00685B42" w:rsidRPr="008E13E3">
        <w:rPr>
          <w:szCs w:val="26"/>
        </w:rPr>
        <w:t xml:space="preserve"> </w:t>
      </w:r>
      <w:r w:rsidR="00685B42" w:rsidRPr="008E13E3">
        <w:rPr>
          <w:szCs w:val="26"/>
        </w:rPr>
        <w:lastRenderedPageBreak/>
        <w:t>maintain that the RTO Adder continues to incentivize this desired behavior regardless of whether membership is voluntary.</w:t>
      </w:r>
      <w:r w:rsidR="00685B42" w:rsidRPr="008E13E3">
        <w:rPr>
          <w:rStyle w:val="FootnoteReference"/>
          <w:szCs w:val="26"/>
        </w:rPr>
        <w:footnoteReference w:id="127"/>
      </w:r>
    </w:p>
    <w:p w14:paraId="293D438E" w14:textId="77777777" w:rsidR="00685B42" w:rsidRPr="008E13E3" w:rsidRDefault="001A7A13" w:rsidP="00685B42">
      <w:pPr>
        <w:pStyle w:val="FERCparanumber"/>
        <w:rPr>
          <w:szCs w:val="24"/>
        </w:rPr>
      </w:pPr>
      <w:r w:rsidRPr="008E13E3">
        <w:rPr>
          <w:szCs w:val="24"/>
        </w:rPr>
        <w:t>California IOUs</w:t>
      </w:r>
      <w:r w:rsidR="00685B42" w:rsidRPr="008E13E3">
        <w:rPr>
          <w:szCs w:val="24"/>
        </w:rPr>
        <w:t xml:space="preserve"> assert that </w:t>
      </w:r>
      <w:r w:rsidR="00F71AC1" w:rsidRPr="008E13E3">
        <w:rPr>
          <w:szCs w:val="24"/>
        </w:rPr>
        <w:t xml:space="preserve">neither </w:t>
      </w:r>
      <w:r w:rsidR="00685B42" w:rsidRPr="008E13E3">
        <w:rPr>
          <w:szCs w:val="24"/>
        </w:rPr>
        <w:t xml:space="preserve">the Commission </w:t>
      </w:r>
      <w:r w:rsidR="00F71AC1" w:rsidRPr="008E13E3">
        <w:rPr>
          <w:szCs w:val="24"/>
        </w:rPr>
        <w:t xml:space="preserve">nor the Sixth Circuit in </w:t>
      </w:r>
      <w:r w:rsidR="00F71AC1" w:rsidRPr="008E13E3">
        <w:rPr>
          <w:i/>
          <w:iCs/>
          <w:szCs w:val="24"/>
        </w:rPr>
        <w:t>Dayton</w:t>
      </w:r>
      <w:r w:rsidR="00F71AC1" w:rsidRPr="008E13E3">
        <w:rPr>
          <w:szCs w:val="24"/>
        </w:rPr>
        <w:t xml:space="preserve"> </w:t>
      </w:r>
      <w:r w:rsidR="00685B42" w:rsidRPr="008E13E3">
        <w:rPr>
          <w:szCs w:val="24"/>
        </w:rPr>
        <w:t>grapple</w:t>
      </w:r>
      <w:r w:rsidR="00F71AC1" w:rsidRPr="008E13E3">
        <w:rPr>
          <w:szCs w:val="24"/>
        </w:rPr>
        <w:t>d</w:t>
      </w:r>
      <w:r w:rsidR="00685B42" w:rsidRPr="008E13E3">
        <w:rPr>
          <w:szCs w:val="24"/>
        </w:rPr>
        <w:t xml:space="preserve"> with how </w:t>
      </w:r>
      <w:r w:rsidR="00F71AC1" w:rsidRPr="008E13E3">
        <w:rPr>
          <w:szCs w:val="24"/>
        </w:rPr>
        <w:t>their</w:t>
      </w:r>
      <w:r w:rsidR="00685B42" w:rsidRPr="008E13E3">
        <w:rPr>
          <w:szCs w:val="24"/>
        </w:rPr>
        <w:t xml:space="preserve"> reading of section 219(c) thwarts Congress’ intent.  </w:t>
      </w:r>
      <w:r w:rsidRPr="008E13E3">
        <w:rPr>
          <w:szCs w:val="24"/>
        </w:rPr>
        <w:t>California IOUs</w:t>
      </w:r>
      <w:r w:rsidR="00685B42" w:rsidRPr="008E13E3">
        <w:rPr>
          <w:szCs w:val="24"/>
        </w:rPr>
        <w:t xml:space="preserve"> argue that the Commission </w:t>
      </w:r>
      <w:r w:rsidR="00F71AC1" w:rsidRPr="008E13E3">
        <w:rPr>
          <w:szCs w:val="24"/>
        </w:rPr>
        <w:t xml:space="preserve">and Sixth Circuit’s interpretation </w:t>
      </w:r>
      <w:r w:rsidR="00685B42" w:rsidRPr="008E13E3">
        <w:rPr>
          <w:szCs w:val="24"/>
        </w:rPr>
        <w:t xml:space="preserve">undermines Congress’ goal of encouraging transmission investment by excluding many transmission owners who—as RTO members—provide the investment Congress sought to promote.  </w:t>
      </w:r>
      <w:r w:rsidR="00AA691D" w:rsidRPr="008E13E3">
        <w:rPr>
          <w:szCs w:val="24"/>
        </w:rPr>
        <w:t>They further</w:t>
      </w:r>
      <w:r w:rsidR="00685B42" w:rsidRPr="008E13E3">
        <w:rPr>
          <w:szCs w:val="24"/>
        </w:rPr>
        <w:t xml:space="preserve"> argue that th</w:t>
      </w:r>
      <w:r w:rsidR="009A0A8A" w:rsidRPr="008E13E3">
        <w:rPr>
          <w:szCs w:val="24"/>
        </w:rPr>
        <w:t>is interpretation</w:t>
      </w:r>
      <w:r w:rsidR="00685B42" w:rsidRPr="008E13E3">
        <w:rPr>
          <w:szCs w:val="24"/>
        </w:rPr>
        <w:t xml:space="preserve"> effectively turns over the federal rate framework to states, which can now decide whether they want in-state utilities (or some subset thereof) to receive the RTO Adder</w:t>
      </w:r>
      <w:r w:rsidR="00A91E4E" w:rsidRPr="008E13E3">
        <w:rPr>
          <w:szCs w:val="24"/>
        </w:rPr>
        <w:t xml:space="preserve"> by </w:t>
      </w:r>
      <w:r w:rsidR="007C02FF" w:rsidRPr="008E13E3">
        <w:rPr>
          <w:szCs w:val="24"/>
        </w:rPr>
        <w:t>requiring such utilities to participate in an RTO</w:t>
      </w:r>
      <w:r w:rsidR="00685B42" w:rsidRPr="008E13E3">
        <w:rPr>
          <w:szCs w:val="24"/>
        </w:rPr>
        <w:t xml:space="preserve">.  </w:t>
      </w:r>
      <w:r w:rsidR="009E09CF" w:rsidRPr="008E13E3">
        <w:rPr>
          <w:szCs w:val="24"/>
        </w:rPr>
        <w:t xml:space="preserve">California IOUs contend that this creates an uneven playing </w:t>
      </w:r>
      <w:r w:rsidR="00564FB4" w:rsidRPr="008E13E3">
        <w:rPr>
          <w:szCs w:val="24"/>
        </w:rPr>
        <w:t>field for investment</w:t>
      </w:r>
      <w:r w:rsidR="00685B42" w:rsidRPr="008E13E3">
        <w:rPr>
          <w:szCs w:val="24"/>
        </w:rPr>
        <w:t>.</w:t>
      </w:r>
      <w:r w:rsidR="00685B42" w:rsidRPr="008E13E3">
        <w:rPr>
          <w:rStyle w:val="FootnoteReference"/>
          <w:szCs w:val="24"/>
        </w:rPr>
        <w:footnoteReference w:id="128"/>
      </w:r>
    </w:p>
    <w:p w14:paraId="2E556758" w14:textId="77777777" w:rsidR="00DD4217" w:rsidRPr="008E13E3" w:rsidRDefault="001A7A13" w:rsidP="00DD4217">
      <w:pPr>
        <w:pStyle w:val="FERCparanumber"/>
        <w:rPr>
          <w:szCs w:val="24"/>
        </w:rPr>
      </w:pPr>
      <w:r w:rsidRPr="008E13E3">
        <w:t>California IOUs</w:t>
      </w:r>
      <w:r w:rsidR="00685B42" w:rsidRPr="008E13E3">
        <w:t xml:space="preserve"> assert that the Commission cannot rely upon </w:t>
      </w:r>
      <w:r w:rsidR="00685B42" w:rsidRPr="008E13E3">
        <w:rPr>
          <w:i/>
        </w:rPr>
        <w:t>CPUC I</w:t>
      </w:r>
      <w:r w:rsidR="00685B42" w:rsidRPr="008E13E3">
        <w:t xml:space="preserve"> for its interpretation of section 219(c).  </w:t>
      </w:r>
      <w:r w:rsidRPr="008E13E3">
        <w:t>California IOUs</w:t>
      </w:r>
      <w:r w:rsidR="00685B42" w:rsidRPr="008E13E3">
        <w:t xml:space="preserve"> maintain that </w:t>
      </w:r>
      <w:r w:rsidR="00685B42" w:rsidRPr="008E13E3">
        <w:rPr>
          <w:i/>
        </w:rPr>
        <w:t>CPUC I</w:t>
      </w:r>
      <w:r w:rsidR="00685B42" w:rsidRPr="008E13E3">
        <w:t xml:space="preserve"> did not hold that section 219(c) makes voluntary RTO membership a prerequisite for the RTO Adder or require the Commission to rely upon state law to determine voluntariness.  </w:t>
      </w:r>
      <w:r w:rsidRPr="008E13E3">
        <w:t>California IOUs</w:t>
      </w:r>
      <w:r w:rsidR="00685B42" w:rsidRPr="008E13E3">
        <w:t xml:space="preserve"> also state that the Commission cannot rely on </w:t>
      </w:r>
      <w:r w:rsidR="00685B42" w:rsidRPr="008E13E3">
        <w:rPr>
          <w:szCs w:val="26"/>
        </w:rPr>
        <w:t>language from Order No. 679</w:t>
      </w:r>
      <w:r w:rsidR="00A7695F" w:rsidRPr="008E13E3">
        <w:rPr>
          <w:rStyle w:val="FootnoteReference"/>
          <w:szCs w:val="26"/>
        </w:rPr>
        <w:footnoteReference w:id="129"/>
      </w:r>
      <w:r w:rsidR="00685B42" w:rsidRPr="008E13E3">
        <w:rPr>
          <w:szCs w:val="26"/>
        </w:rPr>
        <w:t xml:space="preserve"> and Order No. 679-A, because the question here is what </w:t>
      </w:r>
      <w:r w:rsidR="00685B42" w:rsidRPr="008E13E3">
        <w:rPr>
          <w:i/>
          <w:szCs w:val="26"/>
        </w:rPr>
        <w:t>the statute</w:t>
      </w:r>
      <w:r w:rsidR="00685B42" w:rsidRPr="008E13E3">
        <w:rPr>
          <w:szCs w:val="26"/>
        </w:rPr>
        <w:t xml:space="preserve"> means—a question on which </w:t>
      </w:r>
      <w:r w:rsidR="00567995" w:rsidRPr="008E13E3">
        <w:rPr>
          <w:szCs w:val="26"/>
        </w:rPr>
        <w:t xml:space="preserve">the </w:t>
      </w:r>
      <w:r w:rsidR="00685B42" w:rsidRPr="008E13E3">
        <w:rPr>
          <w:szCs w:val="26"/>
        </w:rPr>
        <w:t xml:space="preserve">Commission </w:t>
      </w:r>
      <w:r w:rsidR="00602142" w:rsidRPr="008E13E3">
        <w:rPr>
          <w:szCs w:val="26"/>
        </w:rPr>
        <w:t xml:space="preserve">receives </w:t>
      </w:r>
      <w:r w:rsidR="00685B42" w:rsidRPr="008E13E3">
        <w:rPr>
          <w:szCs w:val="26"/>
        </w:rPr>
        <w:t>no deference.</w:t>
      </w:r>
      <w:r w:rsidR="00685B42" w:rsidRPr="008E13E3">
        <w:rPr>
          <w:rStyle w:val="FootnoteReference"/>
          <w:szCs w:val="26"/>
        </w:rPr>
        <w:footnoteReference w:id="130"/>
      </w:r>
      <w:r w:rsidR="00685B42" w:rsidRPr="008E13E3">
        <w:rPr>
          <w:szCs w:val="26"/>
        </w:rPr>
        <w:t xml:space="preserve">  </w:t>
      </w:r>
      <w:r w:rsidR="0064765C" w:rsidRPr="008E13E3">
        <w:rPr>
          <w:szCs w:val="26"/>
        </w:rPr>
        <w:t xml:space="preserve"> </w:t>
      </w:r>
      <w:r w:rsidRPr="008E13E3">
        <w:t>California IOUs</w:t>
      </w:r>
      <w:r w:rsidR="00DD4217" w:rsidRPr="008E13E3">
        <w:t xml:space="preserve"> argue that, in any case, Order No. 679’s statement that “continuing membership is </w:t>
      </w:r>
      <w:r w:rsidR="00DD4217" w:rsidRPr="008E13E3">
        <w:rPr>
          <w:i/>
          <w:iCs/>
        </w:rPr>
        <w:t>generally</w:t>
      </w:r>
      <w:r w:rsidR="00DD4217" w:rsidRPr="008E13E3">
        <w:t xml:space="preserve"> voluntary” confirms that the RTO Adder is sometimes available even where membership is not voluntary.</w:t>
      </w:r>
      <w:r w:rsidR="00416C29" w:rsidRPr="008E13E3">
        <w:rPr>
          <w:rStyle w:val="FootnoteReference"/>
        </w:rPr>
        <w:footnoteReference w:id="131"/>
      </w:r>
      <w:r w:rsidR="00DD4217" w:rsidRPr="008E13E3">
        <w:t xml:space="preserve">  </w:t>
      </w:r>
      <w:r w:rsidRPr="008E13E3">
        <w:t>California IOUs</w:t>
      </w:r>
      <w:r w:rsidR="00DD4217" w:rsidRPr="008E13E3">
        <w:t xml:space="preserve"> state that the Commission rejected comments “assert[</w:t>
      </w:r>
      <w:proofErr w:type="spellStart"/>
      <w:r w:rsidR="00DD4217" w:rsidRPr="008E13E3">
        <w:t>ing</w:t>
      </w:r>
      <w:proofErr w:type="spellEnd"/>
      <w:r w:rsidR="00DD4217" w:rsidRPr="008E13E3">
        <w:t>] that the incentive should not apply where a transmission owner is ordered to join a RTO/ISO by statute.”</w:t>
      </w:r>
      <w:r w:rsidR="00C7708F" w:rsidRPr="008E13E3">
        <w:rPr>
          <w:rStyle w:val="FootnoteReference"/>
        </w:rPr>
        <w:footnoteReference w:id="132"/>
      </w:r>
      <w:r w:rsidR="00DD4217" w:rsidRPr="008E13E3">
        <w:t xml:space="preserve">  </w:t>
      </w:r>
      <w:r w:rsidRPr="008E13E3">
        <w:t>California IOUs</w:t>
      </w:r>
      <w:r w:rsidR="00DD4217" w:rsidRPr="008E13E3">
        <w:t xml:space="preserve"> argue that if the Commission interprets section 219(c) as requiring voluntariness for the RTO Adder, while recognizing that Order No. 679 does not contain such requirement, it is arbitrary and capricious for the Commission to change </w:t>
      </w:r>
      <w:r w:rsidR="00DD4217" w:rsidRPr="008E13E3">
        <w:lastRenderedPageBreak/>
        <w:t>its policy from Order No. 679 without acknowledging that it is doing so.</w:t>
      </w:r>
      <w:r w:rsidR="00C7708F" w:rsidRPr="008E13E3">
        <w:rPr>
          <w:rStyle w:val="FootnoteReference"/>
        </w:rPr>
        <w:footnoteReference w:id="133"/>
      </w:r>
      <w:r w:rsidR="00DD4217" w:rsidRPr="008E13E3">
        <w:t xml:space="preserve">  Further, to the extent the Commission relies on a 1992 policy statement that incentive ratemaking “must be prospective,” </w:t>
      </w:r>
      <w:r w:rsidRPr="008E13E3">
        <w:t>California IOUs</w:t>
      </w:r>
      <w:r w:rsidR="00DD4217" w:rsidRPr="008E13E3">
        <w:t xml:space="preserve"> contend that the RTO Adder under their reading is prospective in that it induces increased investment in transmission infrastructure by RTO members.</w:t>
      </w:r>
      <w:r w:rsidR="00C7708F" w:rsidRPr="008E13E3">
        <w:rPr>
          <w:rStyle w:val="FootnoteReference"/>
        </w:rPr>
        <w:footnoteReference w:id="134"/>
      </w:r>
      <w:r w:rsidR="00C7708F" w:rsidRPr="008E13E3">
        <w:t xml:space="preserve"> </w:t>
      </w:r>
    </w:p>
    <w:p w14:paraId="1D6A5CC2" w14:textId="77777777" w:rsidR="00685B42" w:rsidRPr="008E13E3" w:rsidRDefault="00685B42" w:rsidP="00685B42">
      <w:pPr>
        <w:pStyle w:val="FERCparanumber"/>
        <w:rPr>
          <w:szCs w:val="24"/>
        </w:rPr>
      </w:pPr>
      <w:r w:rsidRPr="008E13E3">
        <w:rPr>
          <w:szCs w:val="24"/>
        </w:rPr>
        <w:t xml:space="preserve">Finally, </w:t>
      </w:r>
      <w:r w:rsidR="001A7A13" w:rsidRPr="008E13E3">
        <w:rPr>
          <w:szCs w:val="24"/>
        </w:rPr>
        <w:t>California IOUs</w:t>
      </w:r>
      <w:r w:rsidRPr="008E13E3">
        <w:rPr>
          <w:szCs w:val="24"/>
        </w:rPr>
        <w:t xml:space="preserve"> point out that SDG&amp;E voluntarily joined CAISO in 1998, and argue that, because the act of joining </w:t>
      </w:r>
      <w:proofErr w:type="gramStart"/>
      <w:r w:rsidRPr="008E13E3">
        <w:rPr>
          <w:szCs w:val="24"/>
        </w:rPr>
        <w:t>entitled SDG&amp;E</w:t>
      </w:r>
      <w:proofErr w:type="gramEnd"/>
      <w:r w:rsidRPr="008E13E3">
        <w:rPr>
          <w:szCs w:val="24"/>
        </w:rPr>
        <w:t xml:space="preserve"> to the RTO Adder under section 219(c), SDG&amp;E must receive the RTO Adder whether or not SDG&amp;E is voluntarily remaining in CAISO.</w:t>
      </w:r>
      <w:r w:rsidRPr="008E13E3">
        <w:rPr>
          <w:rStyle w:val="FootnoteReference"/>
          <w:szCs w:val="24"/>
        </w:rPr>
        <w:footnoteReference w:id="135"/>
      </w:r>
    </w:p>
    <w:p w14:paraId="14754463" w14:textId="77777777" w:rsidR="004F5786" w:rsidRPr="008E13E3" w:rsidRDefault="004F5786" w:rsidP="005C5320">
      <w:pPr>
        <w:pStyle w:val="Heading3"/>
      </w:pPr>
      <w:r w:rsidRPr="008E13E3">
        <w:t xml:space="preserve">Commission </w:t>
      </w:r>
      <w:r w:rsidR="00B21F60" w:rsidRPr="008E13E3">
        <w:t>D</w:t>
      </w:r>
      <w:r w:rsidRPr="008E13E3">
        <w:t>etermination</w:t>
      </w:r>
    </w:p>
    <w:p w14:paraId="71CD4F7F" w14:textId="77777777" w:rsidR="00F11D65" w:rsidRPr="008E13E3" w:rsidRDefault="00F11D65" w:rsidP="00F11D65">
      <w:pPr>
        <w:pStyle w:val="FERCparanumber"/>
        <w:rPr>
          <w:szCs w:val="24"/>
        </w:rPr>
      </w:pPr>
      <w:r w:rsidRPr="008E13E3">
        <w:rPr>
          <w:szCs w:val="24"/>
        </w:rPr>
        <w:t xml:space="preserve">We find that the Commission has not misconstrued section 219(c) and that FPA section 219(c) </w:t>
      </w:r>
      <w:r w:rsidR="008C4496" w:rsidRPr="008E13E3">
        <w:rPr>
          <w:szCs w:val="24"/>
        </w:rPr>
        <w:t xml:space="preserve">is best interpreted as </w:t>
      </w:r>
      <w:r w:rsidRPr="008E13E3">
        <w:rPr>
          <w:szCs w:val="24"/>
        </w:rPr>
        <w:t>limit</w:t>
      </w:r>
      <w:r w:rsidR="008C4496" w:rsidRPr="008E13E3">
        <w:rPr>
          <w:szCs w:val="24"/>
        </w:rPr>
        <w:t>ing</w:t>
      </w:r>
      <w:r w:rsidRPr="008E13E3">
        <w:rPr>
          <w:szCs w:val="24"/>
        </w:rPr>
        <w:t xml:space="preserve"> the RTO Adder’s availability to utilities that voluntarily participate in RTOs. </w:t>
      </w:r>
    </w:p>
    <w:p w14:paraId="6C6FAA8D" w14:textId="77777777" w:rsidR="00F11D65" w:rsidRPr="008E13E3" w:rsidRDefault="00F11D65" w:rsidP="00F11D65">
      <w:pPr>
        <w:pStyle w:val="FERCparanumber"/>
      </w:pPr>
      <w:r w:rsidRPr="008E13E3">
        <w:t>Section 219(c) directs that “the Commission shall, to the extent within its jurisdiction, provide for incentives to each transmitting utility or electric utility that joins a Transmission Organization.”</w:t>
      </w:r>
      <w:r w:rsidRPr="008E13E3">
        <w:rPr>
          <w:b/>
          <w:vertAlign w:val="superscript"/>
        </w:rPr>
        <w:footnoteReference w:id="136"/>
      </w:r>
      <w:r w:rsidRPr="008E13E3">
        <w:t xml:space="preserve">  In </w:t>
      </w:r>
      <w:r w:rsidRPr="008E13E3">
        <w:rPr>
          <w:i/>
        </w:rPr>
        <w:t>Dayton</w:t>
      </w:r>
      <w:r w:rsidRPr="008E13E3">
        <w:t xml:space="preserve">, the court determined that </w:t>
      </w:r>
      <w:r w:rsidR="0005679D" w:rsidRPr="008E13E3">
        <w:t xml:space="preserve">the </w:t>
      </w:r>
      <w:r w:rsidRPr="008E13E3">
        <w:t>“single, best” reading of section 219(c) is that the RTO Adder requires voluntary membership.</w:t>
      </w:r>
      <w:r w:rsidRPr="008E13E3">
        <w:rPr>
          <w:rStyle w:val="FootnoteReference"/>
          <w:szCs w:val="26"/>
        </w:rPr>
        <w:footnoteReference w:id="137"/>
      </w:r>
      <w:r w:rsidRPr="008E13E3">
        <w:t xml:space="preserve">  </w:t>
      </w:r>
      <w:r w:rsidRPr="008E13E3">
        <w:rPr>
          <w:szCs w:val="26"/>
        </w:rPr>
        <w:t>The court focused on the words “joins” and incentives,” and found that</w:t>
      </w:r>
      <w:r w:rsidR="00AE7E6E" w:rsidRPr="008E13E3">
        <w:rPr>
          <w:szCs w:val="26"/>
        </w:rPr>
        <w:t>,</w:t>
      </w:r>
      <w:r w:rsidRPr="008E13E3">
        <w:rPr>
          <w:szCs w:val="26"/>
        </w:rPr>
        <w:t xml:space="preserve"> while “joins” connotes voluntary action, “incentive” carries an even stronger connotation of voluntariness.  An incentive is “[s]</w:t>
      </w:r>
      <w:proofErr w:type="spellStart"/>
      <w:r w:rsidRPr="008E13E3">
        <w:rPr>
          <w:szCs w:val="26"/>
        </w:rPr>
        <w:t>omething</w:t>
      </w:r>
      <w:proofErr w:type="spellEnd"/>
      <w:r w:rsidRPr="008E13E3">
        <w:rPr>
          <w:szCs w:val="26"/>
        </w:rPr>
        <w:t xml:space="preserve"> that incites or encourages action or production” or “spurs someone, </w:t>
      </w:r>
      <w:proofErr w:type="spellStart"/>
      <w:r w:rsidRPr="008E13E3">
        <w:rPr>
          <w:szCs w:val="26"/>
        </w:rPr>
        <w:t>esp</w:t>
      </w:r>
      <w:proofErr w:type="spellEnd"/>
      <w:r w:rsidRPr="008E13E3">
        <w:rPr>
          <w:szCs w:val="26"/>
        </w:rPr>
        <w:t>[</w:t>
      </w:r>
      <w:proofErr w:type="spellStart"/>
      <w:r w:rsidRPr="008E13E3">
        <w:rPr>
          <w:szCs w:val="26"/>
        </w:rPr>
        <w:t>ecially</w:t>
      </w:r>
      <w:proofErr w:type="spellEnd"/>
      <w:r w:rsidRPr="008E13E3">
        <w:rPr>
          <w:szCs w:val="26"/>
        </w:rPr>
        <w:t>] from self-interest, to seek an outcome.”</w:t>
      </w:r>
      <w:r w:rsidRPr="008E13E3">
        <w:rPr>
          <w:rStyle w:val="FootnoteReference"/>
          <w:szCs w:val="26"/>
        </w:rPr>
        <w:footnoteReference w:id="138"/>
      </w:r>
      <w:r w:rsidR="00B74AE8" w:rsidRPr="008E13E3">
        <w:rPr>
          <w:szCs w:val="26"/>
        </w:rPr>
        <w:t xml:space="preserve"> </w:t>
      </w:r>
      <w:r w:rsidRPr="008E13E3">
        <w:rPr>
          <w:szCs w:val="26"/>
        </w:rPr>
        <w:t xml:space="preserve"> The court </w:t>
      </w:r>
      <w:r w:rsidR="00AE7E6E" w:rsidRPr="008E13E3">
        <w:rPr>
          <w:szCs w:val="26"/>
        </w:rPr>
        <w:t xml:space="preserve">explained </w:t>
      </w:r>
      <w:r w:rsidRPr="008E13E3">
        <w:rPr>
          <w:szCs w:val="26"/>
        </w:rPr>
        <w:t>that the very concept of inciting, inducing, or encouraging an action presumes the actor’s freedom to choose whether to perform it.</w:t>
      </w:r>
      <w:r w:rsidRPr="008E13E3">
        <w:rPr>
          <w:rStyle w:val="FootnoteReference"/>
          <w:szCs w:val="26"/>
        </w:rPr>
        <w:footnoteReference w:id="139"/>
      </w:r>
      <w:r w:rsidRPr="008E13E3">
        <w:rPr>
          <w:szCs w:val="26"/>
        </w:rPr>
        <w:t xml:space="preserve">  The court </w:t>
      </w:r>
      <w:r w:rsidR="007C2CB2" w:rsidRPr="008E13E3">
        <w:rPr>
          <w:szCs w:val="26"/>
        </w:rPr>
        <w:t xml:space="preserve">therefore </w:t>
      </w:r>
      <w:r w:rsidRPr="008E13E3">
        <w:rPr>
          <w:szCs w:val="26"/>
        </w:rPr>
        <w:t>concluded that an incentive can only induce joining an RTO if doing so is voluntary.</w:t>
      </w:r>
    </w:p>
    <w:p w14:paraId="12EEE753" w14:textId="77777777" w:rsidR="00F11D65" w:rsidRPr="008E13E3" w:rsidRDefault="00F11D65" w:rsidP="00F11D65">
      <w:pPr>
        <w:pStyle w:val="FERCparanumber"/>
      </w:pPr>
      <w:r w:rsidRPr="008E13E3">
        <w:lastRenderedPageBreak/>
        <w:t xml:space="preserve">We disagree with </w:t>
      </w:r>
      <w:r w:rsidR="001A7A13" w:rsidRPr="008E13E3">
        <w:t>California IOUs</w:t>
      </w:r>
      <w:r w:rsidRPr="008E13E3">
        <w:t xml:space="preserve">’ assertion that section 219(c) requires the RTO adder be granted “to each” participating utility “that joins” without exception, and that the Commission effectively reads section 219(c) to require an RTO Adder for utilities that “elect to join” an RTO.  </w:t>
      </w:r>
      <w:r w:rsidRPr="008E13E3">
        <w:rPr>
          <w:szCs w:val="26"/>
        </w:rPr>
        <w:t xml:space="preserve">The court in </w:t>
      </w:r>
      <w:r w:rsidRPr="008E13E3">
        <w:rPr>
          <w:i/>
          <w:szCs w:val="26"/>
        </w:rPr>
        <w:t>Dayton</w:t>
      </w:r>
      <w:r w:rsidRPr="008E13E3">
        <w:rPr>
          <w:szCs w:val="26"/>
        </w:rPr>
        <w:t xml:space="preserve"> rejected a similar argument, finding that the utilities at issue placed too heavy an emphasis on Congress’ choice of one word – “</w:t>
      </w:r>
      <w:r w:rsidRPr="008E13E3">
        <w:rPr>
          <w:i/>
          <w:szCs w:val="26"/>
        </w:rPr>
        <w:t>that</w:t>
      </w:r>
      <w:r w:rsidRPr="008E13E3">
        <w:rPr>
          <w:szCs w:val="26"/>
        </w:rPr>
        <w:t xml:space="preserve"> joins” rather than “</w:t>
      </w:r>
      <w:r w:rsidRPr="008E13E3">
        <w:rPr>
          <w:i/>
          <w:szCs w:val="26"/>
        </w:rPr>
        <w:t>to</w:t>
      </w:r>
      <w:r w:rsidRPr="008E13E3">
        <w:rPr>
          <w:szCs w:val="26"/>
        </w:rPr>
        <w:t xml:space="preserve"> join” – while reading the word “incentives” out of the statute.  </w:t>
      </w:r>
      <w:r w:rsidR="001A7A13" w:rsidRPr="008E13E3">
        <w:rPr>
          <w:szCs w:val="26"/>
        </w:rPr>
        <w:t>California IOUs</w:t>
      </w:r>
      <w:r w:rsidRPr="008E13E3">
        <w:rPr>
          <w:szCs w:val="26"/>
        </w:rPr>
        <w:t xml:space="preserve">’ reading of section 219(c) would result in an “incentive” that is an award or payment for RTO membership, not an inducement to undertake an action, which would contradict the plain meaning of </w:t>
      </w:r>
      <w:r w:rsidR="00155A5D" w:rsidRPr="008E13E3">
        <w:rPr>
          <w:szCs w:val="26"/>
        </w:rPr>
        <w:t>“</w:t>
      </w:r>
      <w:r w:rsidRPr="008E13E3">
        <w:rPr>
          <w:szCs w:val="26"/>
        </w:rPr>
        <w:t>incentive</w:t>
      </w:r>
      <w:r w:rsidR="00155A5D" w:rsidRPr="008E13E3">
        <w:rPr>
          <w:szCs w:val="26"/>
        </w:rPr>
        <w:t>”</w:t>
      </w:r>
      <w:r w:rsidRPr="008E13E3">
        <w:rPr>
          <w:szCs w:val="26"/>
        </w:rPr>
        <w:t xml:space="preserve"> discussed above.</w:t>
      </w:r>
      <w:r w:rsidRPr="008E13E3">
        <w:rPr>
          <w:rStyle w:val="FootnoteReference"/>
          <w:szCs w:val="26"/>
        </w:rPr>
        <w:footnoteReference w:id="140"/>
      </w:r>
    </w:p>
    <w:p w14:paraId="722D179E" w14:textId="77777777" w:rsidR="0027233B" w:rsidRPr="008E13E3" w:rsidRDefault="00662F2D" w:rsidP="0027233B">
      <w:pPr>
        <w:pStyle w:val="FERCparanumber"/>
      </w:pPr>
      <w:r>
        <w:t xml:space="preserve">Regarding </w:t>
      </w:r>
      <w:r w:rsidR="001A7A13" w:rsidRPr="008E13E3">
        <w:t>California IOUs</w:t>
      </w:r>
      <w:r w:rsidR="0027233B" w:rsidRPr="008E13E3">
        <w:t>’ characterization of the RTO Adder as an incentive for construction and investment in new transmission</w:t>
      </w:r>
      <w:r w:rsidR="00CA746D">
        <w:t xml:space="preserve"> </w:t>
      </w:r>
      <w:r w:rsidR="00CA746D" w:rsidRPr="00CA746D">
        <w:t xml:space="preserve">and the arguments that follow from that characterization, we conclude that </w:t>
      </w:r>
      <w:r w:rsidR="00CA746D" w:rsidRPr="00CA746D">
        <w:rPr>
          <w:i/>
          <w:iCs/>
        </w:rPr>
        <w:t>Dayton</w:t>
      </w:r>
      <w:r w:rsidR="00CA746D" w:rsidRPr="00CA746D">
        <w:t xml:space="preserve"> already addresses this characterization and associated arguments</w:t>
      </w:r>
      <w:r w:rsidR="0027233B" w:rsidRPr="008E13E3">
        <w:t xml:space="preserve">.  </w:t>
      </w:r>
      <w:r w:rsidR="00CA746D" w:rsidRPr="00CA746D">
        <w:t xml:space="preserve">We note that, in Order No. 679-A, as referenced by the </w:t>
      </w:r>
      <w:r w:rsidR="00CA746D" w:rsidRPr="00CA746D">
        <w:rPr>
          <w:i/>
          <w:iCs/>
        </w:rPr>
        <w:t xml:space="preserve">Dayton </w:t>
      </w:r>
      <w:r w:rsidR="00CA746D" w:rsidRPr="00CA746D">
        <w:t>court, the Commission clarified that “[s]</w:t>
      </w:r>
      <w:proofErr w:type="spellStart"/>
      <w:r w:rsidR="00CA746D" w:rsidRPr="00CA746D">
        <w:t>ection</w:t>
      </w:r>
      <w:proofErr w:type="spellEnd"/>
      <w:r w:rsidR="00CA746D" w:rsidRPr="00CA746D">
        <w:t xml:space="preserve"> 219(c), applicable to the Transmission Organization incentive, is separate from the construction incentives in subsection (b), and therefore was not intended to directly encourage construction.”</w:t>
      </w:r>
      <w:r w:rsidR="00CA746D" w:rsidRPr="00CA746D">
        <w:rPr>
          <w:b/>
          <w:vertAlign w:val="superscript"/>
        </w:rPr>
        <w:footnoteReference w:id="141"/>
      </w:r>
      <w:r w:rsidR="00CA746D" w:rsidRPr="00CA746D">
        <w:t xml:space="preserve">  </w:t>
      </w:r>
      <w:r w:rsidR="0027233B" w:rsidRPr="008E13E3">
        <w:rPr>
          <w:szCs w:val="26"/>
        </w:rPr>
        <w:t xml:space="preserve">As recognized by the court in </w:t>
      </w:r>
      <w:r w:rsidR="0027233B" w:rsidRPr="008E13E3">
        <w:rPr>
          <w:i/>
          <w:szCs w:val="26"/>
        </w:rPr>
        <w:t>Dayton</w:t>
      </w:r>
      <w:r w:rsidR="0027233B" w:rsidRPr="008E13E3">
        <w:rPr>
          <w:szCs w:val="26"/>
        </w:rPr>
        <w:t xml:space="preserve">, </w:t>
      </w:r>
      <w:r w:rsidR="007C4067" w:rsidRPr="007C4067">
        <w:rPr>
          <w:szCs w:val="26"/>
        </w:rPr>
        <w:t>the court’s task was “to interpret Section 219(c) and determine whether FERC’s voluntariness requirement is valid given the ‘best reading’ of the statute.”</w:t>
      </w:r>
      <w:r w:rsidR="007C4067" w:rsidRPr="007C4067">
        <w:rPr>
          <w:b/>
          <w:szCs w:val="26"/>
          <w:vertAlign w:val="superscript"/>
        </w:rPr>
        <w:footnoteReference w:id="142"/>
      </w:r>
      <w:r w:rsidR="007C4067" w:rsidRPr="007C4067">
        <w:rPr>
          <w:szCs w:val="26"/>
        </w:rPr>
        <w:t xml:space="preserve">  The court analyzed section 219(c) in conjunction with section 219(a) and section 219(b)</w:t>
      </w:r>
      <w:r w:rsidR="007C4067" w:rsidRPr="007C4067">
        <w:rPr>
          <w:b/>
          <w:szCs w:val="26"/>
          <w:vertAlign w:val="superscript"/>
        </w:rPr>
        <w:footnoteReference w:id="143"/>
      </w:r>
      <w:r w:rsidR="007C4067" w:rsidRPr="007C4067">
        <w:rPr>
          <w:szCs w:val="26"/>
        </w:rPr>
        <w:t xml:space="preserve"> to conclude, among other things, that </w:t>
      </w:r>
      <w:r w:rsidR="00B01F67" w:rsidRPr="008E13E3">
        <w:rPr>
          <w:szCs w:val="26"/>
        </w:rPr>
        <w:t>“</w:t>
      </w:r>
      <w:r w:rsidR="0027233B" w:rsidRPr="008E13E3">
        <w:rPr>
          <w:szCs w:val="26"/>
        </w:rPr>
        <w:t xml:space="preserve">there are myriad problems with calling the RTO Adder a construction </w:t>
      </w:r>
      <w:r w:rsidR="00B01F67" w:rsidRPr="008E13E3">
        <w:rPr>
          <w:szCs w:val="26"/>
        </w:rPr>
        <w:t>‘</w:t>
      </w:r>
      <w:r w:rsidR="0027233B" w:rsidRPr="008E13E3">
        <w:rPr>
          <w:szCs w:val="26"/>
        </w:rPr>
        <w:t>incentive</w:t>
      </w:r>
      <w:r w:rsidR="00B01F67" w:rsidRPr="008E13E3">
        <w:rPr>
          <w:szCs w:val="26"/>
        </w:rPr>
        <w:t>’</w:t>
      </w:r>
      <w:r w:rsidR="0027233B" w:rsidRPr="008E13E3">
        <w:rPr>
          <w:szCs w:val="26"/>
        </w:rPr>
        <w:t xml:space="preserve"> and not a membership inducement.</w:t>
      </w:r>
      <w:r w:rsidR="00B01F67" w:rsidRPr="008E13E3">
        <w:rPr>
          <w:szCs w:val="26"/>
        </w:rPr>
        <w:t>”</w:t>
      </w:r>
      <w:r w:rsidR="0027233B" w:rsidRPr="008E13E3">
        <w:rPr>
          <w:rStyle w:val="FootnoteReference"/>
          <w:szCs w:val="26"/>
        </w:rPr>
        <w:footnoteReference w:id="144"/>
      </w:r>
      <w:r w:rsidR="0027233B" w:rsidRPr="008E13E3">
        <w:rPr>
          <w:szCs w:val="26"/>
        </w:rPr>
        <w:t xml:space="preserve">  The </w:t>
      </w:r>
      <w:r w:rsidR="00155A5D" w:rsidRPr="007E46C6">
        <w:rPr>
          <w:i/>
          <w:iCs/>
          <w:szCs w:val="26"/>
        </w:rPr>
        <w:t>Dayton</w:t>
      </w:r>
      <w:r w:rsidR="00155A5D" w:rsidRPr="008E13E3">
        <w:rPr>
          <w:szCs w:val="26"/>
        </w:rPr>
        <w:t xml:space="preserve"> court explained that the </w:t>
      </w:r>
      <w:r w:rsidR="0027233B" w:rsidRPr="008E13E3">
        <w:rPr>
          <w:szCs w:val="26"/>
        </w:rPr>
        <w:t>utility</w:t>
      </w:r>
      <w:r w:rsidR="00155A5D" w:rsidRPr="008E13E3">
        <w:rPr>
          <w:szCs w:val="26"/>
        </w:rPr>
        <w:t xml:space="preserve"> member</w:t>
      </w:r>
      <w:r w:rsidR="0027233B" w:rsidRPr="008E13E3">
        <w:rPr>
          <w:szCs w:val="26"/>
        </w:rPr>
        <w:t xml:space="preserve"> would not have to undertake any voluntary action to get the “incentive” which</w:t>
      </w:r>
      <w:r w:rsidR="00C9734B" w:rsidRPr="008E13E3">
        <w:rPr>
          <w:szCs w:val="26"/>
        </w:rPr>
        <w:t>,</w:t>
      </w:r>
      <w:r w:rsidR="0027233B" w:rsidRPr="008E13E3">
        <w:rPr>
          <w:szCs w:val="26"/>
        </w:rPr>
        <w:t xml:space="preserve"> as discussed above, is in direct conflict with</w:t>
      </w:r>
      <w:r w:rsidR="007C3384" w:rsidRPr="008E13E3">
        <w:rPr>
          <w:szCs w:val="26"/>
        </w:rPr>
        <w:t xml:space="preserve"> the</w:t>
      </w:r>
      <w:r w:rsidR="0027233B" w:rsidRPr="008E13E3">
        <w:rPr>
          <w:szCs w:val="26"/>
        </w:rPr>
        <w:t xml:space="preserve"> meaning of incentive.</w:t>
      </w:r>
      <w:r w:rsidR="00DA2106" w:rsidRPr="008E13E3">
        <w:rPr>
          <w:rStyle w:val="FootnoteReference"/>
          <w:szCs w:val="26"/>
        </w:rPr>
        <w:footnoteReference w:id="145"/>
      </w:r>
      <w:r w:rsidR="0027233B" w:rsidRPr="008E13E3">
        <w:rPr>
          <w:szCs w:val="26"/>
        </w:rPr>
        <w:t xml:space="preserve">  </w:t>
      </w:r>
      <w:r w:rsidR="007C4067" w:rsidRPr="007C4067">
        <w:rPr>
          <w:szCs w:val="26"/>
        </w:rPr>
        <w:t>The court noted that, if the utilities’ interpretation were correct, “utilities that simply joined an RTO (voluntarily or not) could receive an ‘incentive’ for new investments without constructing new lines or making new investments.”</w:t>
      </w:r>
      <w:r w:rsidR="007C4067" w:rsidRPr="007C4067">
        <w:rPr>
          <w:b/>
          <w:szCs w:val="26"/>
          <w:vertAlign w:val="superscript"/>
        </w:rPr>
        <w:footnoteReference w:id="146"/>
      </w:r>
      <w:r w:rsidR="007C4067" w:rsidRPr="007C4067">
        <w:rPr>
          <w:szCs w:val="26"/>
        </w:rPr>
        <w:t xml:space="preserve">  </w:t>
      </w:r>
      <w:r w:rsidR="006A2E17" w:rsidRPr="006A2E17">
        <w:rPr>
          <w:szCs w:val="26"/>
        </w:rPr>
        <w:t xml:space="preserve">The court </w:t>
      </w:r>
      <w:r w:rsidR="006A2E17" w:rsidRPr="006A2E17">
        <w:rPr>
          <w:szCs w:val="26"/>
        </w:rPr>
        <w:lastRenderedPageBreak/>
        <w:t>concluded that, “[</w:t>
      </w:r>
      <w:proofErr w:type="spellStart"/>
      <w:r w:rsidR="006A2E17" w:rsidRPr="006A2E17">
        <w:rPr>
          <w:szCs w:val="26"/>
        </w:rPr>
        <w:t>i</w:t>
      </w:r>
      <w:proofErr w:type="spellEnd"/>
      <w:r w:rsidR="006A2E17" w:rsidRPr="006A2E17">
        <w:rPr>
          <w:szCs w:val="26"/>
        </w:rPr>
        <w:t>]f Congress wanted to encourage transmission expansion, it would have provided the RTO adder incentive ‘to each’ utility that makes tangible investments in new infrastructure, not each utility ‘that joins’ an RTO.”</w:t>
      </w:r>
      <w:r w:rsidR="006A2E17" w:rsidRPr="006A2E17">
        <w:rPr>
          <w:b/>
          <w:szCs w:val="26"/>
          <w:vertAlign w:val="superscript"/>
        </w:rPr>
        <w:footnoteReference w:id="147"/>
      </w:r>
      <w:r w:rsidR="006A2E17" w:rsidRPr="006A2E17">
        <w:rPr>
          <w:szCs w:val="26"/>
        </w:rPr>
        <w:t xml:space="preserve">  Nonetheless, the court emphasized that Congress did ask the Commission to promote investment in transmission infrastructure irrespective of RTO membership.  The court concluded that, based on the best reading of section 219, this was not in section 219(c).  The court established that section 219(b) directed the Commission to “</w:t>
      </w:r>
      <w:proofErr w:type="spellStart"/>
      <w:r w:rsidR="006A2E17" w:rsidRPr="006A2E17">
        <w:rPr>
          <w:szCs w:val="26"/>
        </w:rPr>
        <w:t>promot</w:t>
      </w:r>
      <w:proofErr w:type="spellEnd"/>
      <w:r w:rsidR="006A2E17" w:rsidRPr="006A2E17">
        <w:rPr>
          <w:szCs w:val="26"/>
        </w:rPr>
        <w:t>[e] capital investment” in transmission facilities and to “provide a return on equity that attracts new investment in transmission facilities,”</w:t>
      </w:r>
      <w:r w:rsidR="006A2E17" w:rsidRPr="006A2E17">
        <w:rPr>
          <w:b/>
          <w:szCs w:val="26"/>
          <w:vertAlign w:val="superscript"/>
        </w:rPr>
        <w:footnoteReference w:id="148"/>
      </w:r>
      <w:r w:rsidR="006A2E17" w:rsidRPr="006A2E17">
        <w:rPr>
          <w:szCs w:val="26"/>
        </w:rPr>
        <w:t xml:space="preserve"> which the Commission did in Order No. 679 through incentives for investments in new transmission facilities.  In contrast, “RTO membership, voluntary or otherwise, does not affect a utility’s eligibility for the [new facilities incentives], so the utilities here still have an incentive to engage in new transmission development.”</w:t>
      </w:r>
      <w:r w:rsidR="006A2E17" w:rsidRPr="006A2E17">
        <w:rPr>
          <w:b/>
          <w:szCs w:val="26"/>
          <w:vertAlign w:val="superscript"/>
        </w:rPr>
        <w:footnoteReference w:id="149"/>
      </w:r>
      <w:r w:rsidR="006A2E17" w:rsidRPr="006A2E17">
        <w:rPr>
          <w:szCs w:val="26"/>
        </w:rPr>
        <w:t xml:space="preserve">  With this in mind, the court concluded that, “[g]</w:t>
      </w:r>
      <w:proofErr w:type="spellStart"/>
      <w:r w:rsidR="006A2E17" w:rsidRPr="006A2E17">
        <w:rPr>
          <w:szCs w:val="26"/>
        </w:rPr>
        <w:t>iven</w:t>
      </w:r>
      <w:proofErr w:type="spellEnd"/>
      <w:r w:rsidR="006A2E17" w:rsidRPr="006A2E17">
        <w:rPr>
          <w:szCs w:val="26"/>
        </w:rPr>
        <w:t xml:space="preserve"> Section 219(b) and the utilities’ own description of Congress’s goals, </w:t>
      </w:r>
      <w:r w:rsidR="0027233B" w:rsidRPr="008E13E3">
        <w:rPr>
          <w:szCs w:val="26"/>
        </w:rPr>
        <w:t xml:space="preserve">“it makes little sense to read </w:t>
      </w:r>
      <w:r w:rsidR="006A2E17">
        <w:rPr>
          <w:szCs w:val="26"/>
        </w:rPr>
        <w:t>S</w:t>
      </w:r>
      <w:r w:rsidR="0027233B" w:rsidRPr="008E13E3">
        <w:rPr>
          <w:szCs w:val="26"/>
        </w:rPr>
        <w:t>ection 219(c) as a mandate for [the Commission] to motivate transmission construction, rather than RTO membership.”</w:t>
      </w:r>
      <w:r w:rsidR="0027233B" w:rsidRPr="008E13E3">
        <w:rPr>
          <w:rStyle w:val="FootnoteReference"/>
          <w:szCs w:val="26"/>
        </w:rPr>
        <w:footnoteReference w:id="150"/>
      </w:r>
    </w:p>
    <w:p w14:paraId="46EFF8A4" w14:textId="77777777" w:rsidR="003E41B9" w:rsidRPr="008E13E3" w:rsidRDefault="006A2E17" w:rsidP="00231B4A">
      <w:pPr>
        <w:pStyle w:val="FERCparanumber"/>
      </w:pPr>
      <w:r>
        <w:t>In addition, w</w:t>
      </w:r>
      <w:r w:rsidR="0080199C" w:rsidRPr="008E13E3">
        <w:t xml:space="preserve">e disagree with </w:t>
      </w:r>
      <w:r w:rsidR="001A7A13" w:rsidRPr="008E13E3">
        <w:t>California IOUs</w:t>
      </w:r>
      <w:r w:rsidR="0080199C" w:rsidRPr="008E13E3">
        <w:t xml:space="preserve"> that Order No. 679 did not make voluntary participation a prerequisite for the RTO Adder.  In </w:t>
      </w:r>
      <w:r w:rsidR="0080199C" w:rsidRPr="008E13E3">
        <w:rPr>
          <w:i/>
        </w:rPr>
        <w:t>CPUC I</w:t>
      </w:r>
      <w:r w:rsidR="0080199C" w:rsidRPr="008E13E3">
        <w:t xml:space="preserve">, the Ninth Circuit </w:t>
      </w:r>
      <w:r w:rsidR="00DA2106" w:rsidRPr="008E13E3">
        <w:t xml:space="preserve">considered </w:t>
      </w:r>
      <w:r w:rsidR="0080199C" w:rsidRPr="008E13E3">
        <w:t xml:space="preserve">voluntary participation in an RTO as a necessary condition for the RTO Adder </w:t>
      </w:r>
      <w:r w:rsidR="0080199C" w:rsidRPr="008E13E3">
        <w:rPr>
          <w:i/>
          <w:iCs/>
        </w:rPr>
        <w:t>under Order No. 679</w:t>
      </w:r>
      <w:r w:rsidR="0080199C" w:rsidRPr="008E13E3">
        <w:t>, and a lack of voluntary participation sufficient to rebut the presumption of eligibility.</w:t>
      </w:r>
      <w:r w:rsidR="0080199C" w:rsidRPr="008E13E3">
        <w:rPr>
          <w:rStyle w:val="FootnoteReference"/>
        </w:rPr>
        <w:footnoteReference w:id="151"/>
      </w:r>
      <w:r w:rsidR="00231B4A" w:rsidRPr="008E13E3">
        <w:t xml:space="preserve">  </w:t>
      </w:r>
      <w:r w:rsidR="00E952E9" w:rsidRPr="008E13E3">
        <w:t xml:space="preserve">We also disagree with </w:t>
      </w:r>
      <w:r w:rsidR="001A7A13" w:rsidRPr="008E13E3">
        <w:t>California IOUs</w:t>
      </w:r>
      <w:r w:rsidR="00A266B0" w:rsidRPr="008E13E3">
        <w:t>’</w:t>
      </w:r>
      <w:r w:rsidR="00E952E9" w:rsidRPr="008E13E3">
        <w:t xml:space="preserve"> contention that the Commission in Order Nos. 679 and 679-A rejected requests to limit eligibility for an RTO Adder to those utilities that join RTOs voluntarily.</w:t>
      </w:r>
      <w:r w:rsidR="00E952E9" w:rsidRPr="008E13E3">
        <w:rPr>
          <w:rStyle w:val="FootnoteReference"/>
        </w:rPr>
        <w:footnoteReference w:id="152"/>
      </w:r>
      <w:r w:rsidR="00E952E9" w:rsidRPr="008E13E3">
        <w:t xml:space="preserve">  The Commission in Order No. 679 did not specifically address comments requesting that “the incentive should not apply where a transmission owner is ordered to join a RTO/ISO by statute</w:t>
      </w:r>
      <w:r w:rsidR="00323813" w:rsidRPr="008E13E3">
        <w:t>.</w:t>
      </w:r>
      <w:r w:rsidR="00E952E9" w:rsidRPr="008E13E3">
        <w:t>”</w:t>
      </w:r>
      <w:r w:rsidR="00E952E9" w:rsidRPr="008E13E3">
        <w:rPr>
          <w:rStyle w:val="FootnoteReference"/>
        </w:rPr>
        <w:footnoteReference w:id="153"/>
      </w:r>
      <w:r w:rsidR="00E952E9" w:rsidRPr="008E13E3">
        <w:t xml:space="preserve"> </w:t>
      </w:r>
    </w:p>
    <w:p w14:paraId="7F22894F" w14:textId="77777777" w:rsidR="0070645B" w:rsidRPr="008E13E3" w:rsidRDefault="0070645B" w:rsidP="0070645B">
      <w:pPr>
        <w:pStyle w:val="FERCparanumber"/>
      </w:pPr>
      <w:r w:rsidRPr="008E13E3">
        <w:lastRenderedPageBreak/>
        <w:t>Lastly, we disagree that the act of SDG&amp;E voluntarily joining CAISO in 1998 entitled SDG&amp;E to the RTO Adder under section 219(c), and that SDG&amp;E must receive the RTO Adder whether or not SDG&amp;E is voluntarily remaining in CAISO.  As discussed above, we continue to find that SDG&amp;E is not a voluntary participant in CAISO, and section 219(c) requires voluntary membership in an RTO to qualify for the RTO Adder.</w:t>
      </w:r>
      <w:r w:rsidRPr="008E13E3">
        <w:rPr>
          <w:rStyle w:val="FootnoteReference"/>
          <w:szCs w:val="26"/>
        </w:rPr>
        <w:footnoteReference w:id="154"/>
      </w:r>
    </w:p>
    <w:p w14:paraId="6AFAA4D1" w14:textId="77777777" w:rsidR="00096647" w:rsidRPr="008E13E3" w:rsidRDefault="00096647" w:rsidP="005C5320">
      <w:pPr>
        <w:pStyle w:val="Heading2"/>
      </w:pPr>
      <w:r w:rsidRPr="008E13E3">
        <w:t xml:space="preserve">Whether the Commission </w:t>
      </w:r>
      <w:r w:rsidR="00FD25E3" w:rsidRPr="008E13E3">
        <w:t xml:space="preserve">Unduly Discriminates Against SDG&amp;E Compared to Similarly Situated Entities </w:t>
      </w:r>
    </w:p>
    <w:p w14:paraId="2C91CF5A" w14:textId="77777777" w:rsidR="00096647" w:rsidRPr="008E13E3" w:rsidRDefault="00096647" w:rsidP="005C5320">
      <w:pPr>
        <w:pStyle w:val="Heading3"/>
      </w:pPr>
      <w:r w:rsidRPr="008E13E3">
        <w:t>Rehearing Request</w:t>
      </w:r>
    </w:p>
    <w:p w14:paraId="70CC790C" w14:textId="77777777" w:rsidR="00927EEE" w:rsidRPr="008E13E3" w:rsidRDefault="001A7A13" w:rsidP="00927EEE">
      <w:pPr>
        <w:pStyle w:val="FERCparanumber"/>
      </w:pPr>
      <w:r w:rsidRPr="008E13E3">
        <w:t>California IOUs</w:t>
      </w:r>
      <w:r w:rsidR="00927EEE" w:rsidRPr="008E13E3">
        <w:t xml:space="preserve"> argue that the Commission erred in finding SDG&amp;E ineligible for the RTO Adder because it treated SDG&amp;E different</w:t>
      </w:r>
      <w:r w:rsidR="00A4478C" w:rsidRPr="008E13E3">
        <w:t>ly</w:t>
      </w:r>
      <w:r w:rsidR="00927EEE" w:rsidRPr="008E13E3">
        <w:t xml:space="preserve"> from other similarly situated entities without a reasoned explanation.  </w:t>
      </w:r>
      <w:r w:rsidRPr="008E13E3">
        <w:t>California IOUs</w:t>
      </w:r>
      <w:r w:rsidR="00927EEE" w:rsidRPr="008E13E3">
        <w:t xml:space="preserve"> state that, in </w:t>
      </w:r>
      <w:proofErr w:type="spellStart"/>
      <w:r w:rsidR="00927EEE" w:rsidRPr="008E13E3">
        <w:rPr>
          <w:i/>
        </w:rPr>
        <w:t>Viridon</w:t>
      </w:r>
      <w:proofErr w:type="spellEnd"/>
      <w:r w:rsidR="00D132D8" w:rsidRPr="008E13E3">
        <w:rPr>
          <w:i/>
        </w:rPr>
        <w:t xml:space="preserve"> California LLC</w:t>
      </w:r>
      <w:r w:rsidR="00D132D8" w:rsidRPr="008E13E3">
        <w:rPr>
          <w:rStyle w:val="FootnoteReference"/>
          <w:i/>
        </w:rPr>
        <w:footnoteReference w:id="155"/>
      </w:r>
      <w:r w:rsidR="00927EEE" w:rsidRPr="008E13E3">
        <w:t>, the Commission observed that section 362(c) only applies to “‘an electrical corporation subject’” to the Transfer Order listed in Section 362(c), including SDG&amp;E, and that the Commission thus found that “unlike these three investor-owned utilities, [</w:t>
      </w:r>
      <w:proofErr w:type="spellStart"/>
      <w:r w:rsidR="00927EEE" w:rsidRPr="008E13E3">
        <w:t>Viridon</w:t>
      </w:r>
      <w:proofErr w:type="spellEnd"/>
      <w:r w:rsidR="00927EEE" w:rsidRPr="008E13E3">
        <w:t xml:space="preserve"> California, LLC (</w:t>
      </w:r>
      <w:proofErr w:type="spellStart"/>
      <w:r w:rsidR="00927EEE" w:rsidRPr="008E13E3">
        <w:t>Viridon</w:t>
      </w:r>
      <w:proofErr w:type="spellEnd"/>
      <w:r w:rsidR="00927EEE" w:rsidRPr="008E13E3">
        <w:t xml:space="preserve">)] is not required by state statute to join CAISO,” and that </w:t>
      </w:r>
      <w:proofErr w:type="spellStart"/>
      <w:r w:rsidR="00927EEE" w:rsidRPr="008E13E3">
        <w:t>Viridon</w:t>
      </w:r>
      <w:proofErr w:type="spellEnd"/>
      <w:r w:rsidR="00927EEE" w:rsidRPr="008E13E3">
        <w:t xml:space="preserve"> is eligible for the RTO Adder upon becoming a member of CAISO.</w:t>
      </w:r>
      <w:r w:rsidR="00927EEE" w:rsidRPr="008E13E3">
        <w:rPr>
          <w:rStyle w:val="FootnoteReference"/>
        </w:rPr>
        <w:footnoteReference w:id="156"/>
      </w:r>
      <w:r w:rsidR="00927EEE" w:rsidRPr="008E13E3">
        <w:t xml:space="preserve">  </w:t>
      </w:r>
      <w:r w:rsidRPr="008E13E3">
        <w:t>California IOUs</w:t>
      </w:r>
      <w:r w:rsidR="00927EEE" w:rsidRPr="008E13E3">
        <w:t xml:space="preserve"> assert that this situation is unlike </w:t>
      </w:r>
      <w:r w:rsidR="00927EEE" w:rsidRPr="008E13E3">
        <w:rPr>
          <w:i/>
        </w:rPr>
        <w:t>Dayton</w:t>
      </w:r>
      <w:r w:rsidR="00927EEE" w:rsidRPr="008E13E3">
        <w:t>, where the Ohio statute at issue applies to all entities in Ohio that own or control transmission facilities because, here, the Commission has recently granted the RTO Adder to other transmission-owning entities for CAISO participation.</w:t>
      </w:r>
      <w:r w:rsidR="00927EEE" w:rsidRPr="008E13E3">
        <w:rPr>
          <w:rStyle w:val="FootnoteReference"/>
        </w:rPr>
        <w:footnoteReference w:id="157"/>
      </w:r>
      <w:r w:rsidR="00927EEE" w:rsidRPr="008E13E3">
        <w:t xml:space="preserve">  </w:t>
      </w:r>
      <w:r w:rsidRPr="008E13E3">
        <w:t>California IOUs</w:t>
      </w:r>
      <w:r w:rsidR="00927EEE" w:rsidRPr="008E13E3">
        <w:t xml:space="preserve"> argue that the Commission has no reasonable basis to grant the RTO Adder to some CAISO participants and not others, and that the Commission failed to address this discrepancy in the </w:t>
      </w:r>
      <w:r w:rsidR="00BD6F34" w:rsidRPr="008E13E3">
        <w:t>Formula Rate</w:t>
      </w:r>
      <w:r w:rsidR="00927EEE" w:rsidRPr="008E13E3">
        <w:t xml:space="preserve"> Order, where it relied upon the PG&amp;E Orders.  </w:t>
      </w:r>
      <w:r w:rsidRPr="008E13E3">
        <w:t>California IOUs</w:t>
      </w:r>
      <w:r w:rsidR="00927EEE" w:rsidRPr="008E13E3">
        <w:t xml:space="preserve"> argue that the Commission has an obligation to issue orders that are not unduly discriminatory and provide a reasoned and articulated basis for why it is treating similarly situated entities differently, and that California’s </w:t>
      </w:r>
      <w:r w:rsidRPr="008E13E3">
        <w:t>l</w:t>
      </w:r>
      <w:r w:rsidR="00927EEE" w:rsidRPr="008E13E3">
        <w:t xml:space="preserve">egislature’s decision to apply section 362(c) only to </w:t>
      </w:r>
      <w:r w:rsidRPr="008E13E3">
        <w:t>California IOUs</w:t>
      </w:r>
      <w:r w:rsidR="00927EEE" w:rsidRPr="008E13E3">
        <w:t xml:space="preserve"> is not such a basis.  </w:t>
      </w:r>
      <w:r w:rsidRPr="008E13E3">
        <w:t>California IOUs</w:t>
      </w:r>
      <w:r w:rsidR="00927EEE" w:rsidRPr="008E13E3">
        <w:t xml:space="preserve"> assert that the Commission cannot abdicate its responsibilities and regulatory role simply because California has attempted to decree, in </w:t>
      </w:r>
      <w:r w:rsidR="00927EEE" w:rsidRPr="008E13E3">
        <w:lastRenderedPageBreak/>
        <w:t xml:space="preserve">response to the outcome of </w:t>
      </w:r>
      <w:r w:rsidR="00927EEE" w:rsidRPr="008E13E3">
        <w:rPr>
          <w:i/>
        </w:rPr>
        <w:t>CPUC II</w:t>
      </w:r>
      <w:r w:rsidR="00927EEE" w:rsidRPr="008E13E3">
        <w:t>, that</w:t>
      </w:r>
      <w:r w:rsidR="00927EEE" w:rsidRPr="008E13E3">
        <w:rPr>
          <w:color w:val="000000"/>
          <w:szCs w:val="26"/>
        </w:rPr>
        <w:t xml:space="preserve"> </w:t>
      </w:r>
      <w:r w:rsidR="00927EEE" w:rsidRPr="008E13E3">
        <w:t>certain disfavored California investor-owned utilities should not receive the RTO Adder.</w:t>
      </w:r>
      <w:r w:rsidR="00927EEE" w:rsidRPr="008E13E3">
        <w:rPr>
          <w:rStyle w:val="FootnoteReference"/>
        </w:rPr>
        <w:footnoteReference w:id="158"/>
      </w:r>
      <w:r w:rsidR="00927EEE" w:rsidRPr="008E13E3">
        <w:t xml:space="preserve">  </w:t>
      </w:r>
    </w:p>
    <w:p w14:paraId="6F4CBAE4" w14:textId="77777777" w:rsidR="00096647" w:rsidRPr="008E13E3" w:rsidRDefault="00096647" w:rsidP="005C5320">
      <w:pPr>
        <w:pStyle w:val="Heading3"/>
      </w:pPr>
      <w:r w:rsidRPr="008E13E3">
        <w:t xml:space="preserve">Commission </w:t>
      </w:r>
      <w:r w:rsidR="00B21F60" w:rsidRPr="008E13E3">
        <w:t>D</w:t>
      </w:r>
      <w:r w:rsidRPr="008E13E3">
        <w:t>etermination</w:t>
      </w:r>
    </w:p>
    <w:p w14:paraId="6DAAAEA4" w14:textId="77777777" w:rsidR="00C05BCB" w:rsidRPr="008E13E3" w:rsidRDefault="00D371A7" w:rsidP="00C05BCB">
      <w:pPr>
        <w:pStyle w:val="FERCparanumber"/>
        <w:spacing w:after="240"/>
      </w:pPr>
      <w:r w:rsidRPr="008E13E3">
        <w:t xml:space="preserve">As in the </w:t>
      </w:r>
      <w:r w:rsidR="004C3B1B" w:rsidRPr="008E13E3">
        <w:t>PG&amp;E Adder Rehearing Order</w:t>
      </w:r>
      <w:r w:rsidRPr="008E13E3">
        <w:t xml:space="preserve">, we find that the </w:t>
      </w:r>
      <w:r w:rsidR="00484E8B" w:rsidRPr="008E13E3">
        <w:t>Formula Rate</w:t>
      </w:r>
      <w:r w:rsidR="0019098E" w:rsidRPr="008E13E3">
        <w:t xml:space="preserve"> Order</w:t>
      </w:r>
      <w:r w:rsidRPr="008E13E3">
        <w:t xml:space="preserve"> does not unduly discriminate against </w:t>
      </w:r>
      <w:r w:rsidR="001A7A13" w:rsidRPr="008E13E3">
        <w:t>California IOUs</w:t>
      </w:r>
      <w:r w:rsidRPr="008E13E3">
        <w:t xml:space="preserve"> compared to other utilities participating in CAISO.</w:t>
      </w:r>
      <w:r w:rsidRPr="008E13E3">
        <w:rPr>
          <w:rStyle w:val="FootnoteReference"/>
        </w:rPr>
        <w:footnoteReference w:id="159"/>
      </w:r>
      <w:r w:rsidRPr="008E13E3">
        <w:t xml:space="preserve">  Our decision rejecting </w:t>
      </w:r>
      <w:r w:rsidR="00A84A22" w:rsidRPr="008E13E3">
        <w:t>SDG&amp;E’s</w:t>
      </w:r>
      <w:r w:rsidRPr="008E13E3">
        <w:t xml:space="preserve"> request for an RTO Adder is based on the requirement in California Public Utilities Code section 362(c) for </w:t>
      </w:r>
      <w:r w:rsidR="00A84A22" w:rsidRPr="008E13E3">
        <w:t>SDG&amp;E</w:t>
      </w:r>
      <w:r w:rsidRPr="008E13E3">
        <w:t xml:space="preserve"> to participate in CAISO.  As </w:t>
      </w:r>
      <w:r w:rsidR="001A7A13" w:rsidRPr="008E13E3">
        <w:t>California IOUs</w:t>
      </w:r>
      <w:r w:rsidRPr="008E13E3">
        <w:t xml:space="preserve"> acknowledge,</w:t>
      </w:r>
      <w:r w:rsidRPr="008E13E3">
        <w:rPr>
          <w:rStyle w:val="FootnoteReference"/>
        </w:rPr>
        <w:footnoteReference w:id="160"/>
      </w:r>
      <w:r w:rsidRPr="008E13E3">
        <w:t xml:space="preserve"> they are the only electrical corporations to which section 362(c) applies.  If other utilities request the RTO Adder and are not subject to section 362(c), those entities are not similarly situated to </w:t>
      </w:r>
      <w:r w:rsidR="0094290C" w:rsidRPr="008E13E3">
        <w:t>SDG&amp;E</w:t>
      </w:r>
      <w:r w:rsidRPr="008E13E3">
        <w:t>.</w:t>
      </w:r>
      <w:r w:rsidRPr="008E13E3">
        <w:rPr>
          <w:rStyle w:val="FootnoteReference"/>
        </w:rPr>
        <w:footnoteReference w:id="161"/>
      </w:r>
      <w:r w:rsidR="00E704C3" w:rsidRPr="008E13E3">
        <w:t xml:space="preserve">  </w:t>
      </w:r>
    </w:p>
    <w:p w14:paraId="47FAC67C" w14:textId="77777777" w:rsidR="00C05BCB" w:rsidRDefault="00C05BCB" w:rsidP="0047470A">
      <w:pPr>
        <w:pStyle w:val="FERCparanumber"/>
        <w:spacing w:after="240"/>
      </w:pPr>
      <w:r w:rsidRPr="008E13E3">
        <w:t xml:space="preserve">We disagree with </w:t>
      </w:r>
      <w:r w:rsidR="001A7A13" w:rsidRPr="008E13E3">
        <w:t>California IOUs</w:t>
      </w:r>
      <w:r w:rsidRPr="008E13E3">
        <w:t xml:space="preserve"> that </w:t>
      </w:r>
      <w:r w:rsidR="00BD428C" w:rsidRPr="008E13E3">
        <w:t xml:space="preserve">state law cannot provide a basis for </w:t>
      </w:r>
      <w:r w:rsidR="0010555E" w:rsidRPr="008E13E3">
        <w:t>treating</w:t>
      </w:r>
      <w:r w:rsidR="00BD428C" w:rsidRPr="008E13E3">
        <w:t xml:space="preserve"> otherwise </w:t>
      </w:r>
      <w:proofErr w:type="gramStart"/>
      <w:r w:rsidR="00BD428C" w:rsidRPr="008E13E3">
        <w:t>similarly-situated</w:t>
      </w:r>
      <w:proofErr w:type="gramEnd"/>
      <w:r w:rsidR="00BD428C" w:rsidRPr="008E13E3">
        <w:t xml:space="preserve"> entities differently for purposes of the RTO Adder.  </w:t>
      </w:r>
      <w:r w:rsidR="005F2C77" w:rsidRPr="008E13E3">
        <w:t xml:space="preserve">The </w:t>
      </w:r>
      <w:r w:rsidR="00FA19E8" w:rsidRPr="008E13E3">
        <w:t xml:space="preserve">court in </w:t>
      </w:r>
      <w:r w:rsidR="00FA19E8" w:rsidRPr="008E13E3">
        <w:rPr>
          <w:i/>
          <w:iCs/>
        </w:rPr>
        <w:t>Dayton</w:t>
      </w:r>
      <w:r w:rsidR="005F2C77" w:rsidRPr="008E13E3">
        <w:t xml:space="preserve"> found </w:t>
      </w:r>
      <w:r w:rsidR="0010555E" w:rsidRPr="008E13E3">
        <w:t>similar disparate treatment to be justified</w:t>
      </w:r>
      <w:r w:rsidR="00BD428C" w:rsidRPr="008E13E3">
        <w:t xml:space="preserve">, </w:t>
      </w:r>
      <w:r w:rsidR="0010555E" w:rsidRPr="008E13E3">
        <w:t>holding</w:t>
      </w:r>
      <w:r w:rsidR="009E3C2B" w:rsidRPr="008E13E3">
        <w:t xml:space="preserve"> that the Commission’s </w:t>
      </w:r>
      <w:r w:rsidR="00BF58EE" w:rsidRPr="008E13E3">
        <w:t>denying</w:t>
      </w:r>
      <w:r w:rsidR="009E3C2B" w:rsidRPr="008E13E3">
        <w:t xml:space="preserve"> of the RTO Adder to Dayton Power</w:t>
      </w:r>
      <w:r w:rsidR="000732E9" w:rsidRPr="008E13E3">
        <w:t xml:space="preserve"> &amp; Light Co.</w:t>
      </w:r>
      <w:r w:rsidR="005F26B6" w:rsidRPr="008E13E3">
        <w:t xml:space="preserve"> (Dayton Power)</w:t>
      </w:r>
      <w:r w:rsidR="00E958F1" w:rsidRPr="008E13E3">
        <w:t>, while continuing to grant the RTO Adder to utilities in other states</w:t>
      </w:r>
      <w:r w:rsidR="00964429" w:rsidRPr="008E13E3">
        <w:t xml:space="preserve"> </w:t>
      </w:r>
      <w:r w:rsidR="005F26B6" w:rsidRPr="008E13E3">
        <w:t xml:space="preserve">participating </w:t>
      </w:r>
      <w:r w:rsidR="00964429" w:rsidRPr="008E13E3">
        <w:t xml:space="preserve">in the PJM </w:t>
      </w:r>
      <w:r w:rsidR="005F26B6" w:rsidRPr="008E13E3">
        <w:t xml:space="preserve">Interconnection, L.L.C. </w:t>
      </w:r>
      <w:r w:rsidR="00964429" w:rsidRPr="008E13E3">
        <w:t>RTO</w:t>
      </w:r>
      <w:r w:rsidR="00E958F1" w:rsidRPr="008E13E3">
        <w:t xml:space="preserve"> </w:t>
      </w:r>
      <w:r w:rsidR="002C5733" w:rsidRPr="008E13E3">
        <w:t xml:space="preserve"> (PJM) </w:t>
      </w:r>
      <w:r w:rsidR="00E958F1" w:rsidRPr="008E13E3">
        <w:t xml:space="preserve">was justified because “Ohio law mandates </w:t>
      </w:r>
      <w:r w:rsidR="00964429" w:rsidRPr="008E13E3">
        <w:t>Dayton Power’s RTO membership” and “[o]</w:t>
      </w:r>
      <w:proofErr w:type="spellStart"/>
      <w:r w:rsidR="00964429" w:rsidRPr="008E13E3">
        <w:t>ther</w:t>
      </w:r>
      <w:proofErr w:type="spellEnd"/>
      <w:r w:rsidR="00964429" w:rsidRPr="008E13E3">
        <w:t xml:space="preserve"> PJM </w:t>
      </w:r>
      <w:r w:rsidR="00197E27" w:rsidRPr="008E13E3">
        <w:t>utilities operate within state statutory schemes that do not mandate RTO participation.”</w:t>
      </w:r>
      <w:r w:rsidR="00197E27" w:rsidRPr="008E13E3">
        <w:rPr>
          <w:rStyle w:val="FootnoteReference"/>
        </w:rPr>
        <w:footnoteReference w:id="162"/>
      </w:r>
      <w:r w:rsidR="00603BEC" w:rsidRPr="008E13E3">
        <w:t xml:space="preserve">  </w:t>
      </w:r>
      <w:r w:rsidR="00D371A7" w:rsidRPr="008E13E3">
        <w:t xml:space="preserve">To the extent that </w:t>
      </w:r>
      <w:r w:rsidR="001A7A13" w:rsidRPr="008E13E3">
        <w:t>California IOUs</w:t>
      </w:r>
      <w:r w:rsidR="00D371A7" w:rsidRPr="008E13E3">
        <w:t xml:space="preserve"> are challenging the California legislature’s decision that they are the only utilities to which section 362(c) applies, the Commission is not the correct forum for such challenges. </w:t>
      </w:r>
    </w:p>
    <w:p w14:paraId="7A9D5517" w14:textId="77777777" w:rsidR="009E424F" w:rsidRPr="008E13E3" w:rsidRDefault="009E424F" w:rsidP="009E424F">
      <w:pPr>
        <w:pStyle w:val="FERCparanumber"/>
        <w:numPr>
          <w:ilvl w:val="0"/>
          <w:numId w:val="0"/>
        </w:numPr>
        <w:spacing w:after="240"/>
      </w:pPr>
    </w:p>
    <w:p w14:paraId="00D64F97" w14:textId="77777777" w:rsidR="00D42B1D" w:rsidRPr="008E13E3" w:rsidRDefault="00D42B1D" w:rsidP="0047470A">
      <w:r w:rsidRPr="008E13E3">
        <w:rPr>
          <w:u w:val="single"/>
        </w:rPr>
        <w:lastRenderedPageBreak/>
        <w:t>The Commission orders</w:t>
      </w:r>
      <w:r w:rsidRPr="008E13E3">
        <w:t>:</w:t>
      </w:r>
    </w:p>
    <w:p w14:paraId="38B80DA0" w14:textId="77777777" w:rsidR="00D42B1D" w:rsidRPr="008E13E3" w:rsidRDefault="00D42B1D" w:rsidP="0047470A"/>
    <w:p w14:paraId="07EF8EB1" w14:textId="77777777" w:rsidR="00D42B1D" w:rsidRPr="008E13E3" w:rsidRDefault="00F549C9" w:rsidP="00F549C9">
      <w:pPr>
        <w:spacing w:after="260"/>
      </w:pPr>
      <w:r w:rsidRPr="008E13E3">
        <w:tab/>
        <w:t xml:space="preserve">In response to </w:t>
      </w:r>
      <w:r w:rsidR="001A7A13" w:rsidRPr="008E13E3">
        <w:t>California IOUs</w:t>
      </w:r>
      <w:r w:rsidRPr="008E13E3">
        <w:t xml:space="preserve">’ </w:t>
      </w:r>
      <w:r w:rsidR="00A762A7" w:rsidRPr="008E13E3">
        <w:t xml:space="preserve">request for rehearing, the </w:t>
      </w:r>
      <w:r w:rsidR="00484E8B" w:rsidRPr="008E13E3">
        <w:t>Formula Rate</w:t>
      </w:r>
      <w:r w:rsidR="0019098E" w:rsidRPr="008E13E3">
        <w:t xml:space="preserve"> Order</w:t>
      </w:r>
      <w:r w:rsidR="00A762A7" w:rsidRPr="008E13E3">
        <w:t xml:space="preserve"> is hereby modified and the result sustained, as discussed in the body of this order. </w:t>
      </w:r>
    </w:p>
    <w:p w14:paraId="0C41D9E5" w14:textId="77777777" w:rsidR="00D42B1D" w:rsidRDefault="00D42B1D" w:rsidP="0047470A">
      <w:r w:rsidRPr="008E13E3">
        <w:t>By the Commission.</w:t>
      </w:r>
    </w:p>
    <w:p w14:paraId="5550E581" w14:textId="77777777" w:rsidR="00A21FE3" w:rsidRDefault="00A21FE3" w:rsidP="0047470A"/>
    <w:p w14:paraId="1B81725D" w14:textId="77777777" w:rsidR="00A21FE3" w:rsidRDefault="00A21FE3" w:rsidP="00A21FE3">
      <w:pPr>
        <w:widowControl/>
      </w:pPr>
      <w:proofErr w:type="gramStart"/>
      <w:r w:rsidRPr="00A21FE3">
        <w:t>( S</w:t>
      </w:r>
      <w:proofErr w:type="gramEnd"/>
      <w:r w:rsidRPr="00A21FE3">
        <w:t xml:space="preserve"> E A </w:t>
      </w:r>
      <w:proofErr w:type="gramStart"/>
      <w:r w:rsidRPr="00A21FE3">
        <w:t>L )</w:t>
      </w:r>
      <w:proofErr w:type="gramEnd"/>
    </w:p>
    <w:p w14:paraId="500D0DDC" w14:textId="77777777" w:rsidR="00A21FE3" w:rsidRPr="00A21FE3" w:rsidRDefault="00A21FE3" w:rsidP="00A21FE3">
      <w:pPr>
        <w:widowControl/>
      </w:pPr>
    </w:p>
    <w:p w14:paraId="1FD993FB" w14:textId="77777777" w:rsidR="00D42B1D" w:rsidRDefault="00D42B1D" w:rsidP="00A21FE3">
      <w:pPr>
        <w:widowControl/>
      </w:pPr>
      <w:r w:rsidRPr="00CD0B38">
        <w:tab/>
      </w:r>
      <w:r w:rsidRPr="00CD0B38">
        <w:tab/>
      </w:r>
      <w:r w:rsidRPr="00CD0B38">
        <w:tab/>
      </w:r>
      <w:r w:rsidRPr="00CD0B38">
        <w:tab/>
      </w:r>
      <w:r w:rsidRPr="00CD0B38">
        <w:tab/>
      </w:r>
      <w:r w:rsidRPr="00CD0B38">
        <w:tab/>
      </w:r>
      <w:r w:rsidRPr="00CD0B38">
        <w:tab/>
      </w:r>
    </w:p>
    <w:p w14:paraId="790EBC9A" w14:textId="77777777" w:rsidR="00A21FE3" w:rsidRDefault="00A21FE3" w:rsidP="00A21FE3">
      <w:pPr>
        <w:widowControl/>
      </w:pPr>
    </w:p>
    <w:p w14:paraId="45665788" w14:textId="77777777" w:rsidR="00A21FE3" w:rsidRDefault="00A21FE3" w:rsidP="00A21FE3">
      <w:pPr>
        <w:widowControl/>
      </w:pPr>
    </w:p>
    <w:p w14:paraId="0238D25A" w14:textId="77777777" w:rsidR="00A21FE3" w:rsidRDefault="00A21FE3" w:rsidP="00A21FE3">
      <w:pPr>
        <w:widowControl/>
      </w:pPr>
    </w:p>
    <w:p w14:paraId="58EA8748" w14:textId="77777777" w:rsidR="00A21FE3" w:rsidRPr="00A21FE3" w:rsidRDefault="00A21FE3" w:rsidP="00A21FE3">
      <w:pPr>
        <w:widowControl/>
        <w:ind w:firstLine="2606"/>
        <w:jc w:val="center"/>
      </w:pPr>
      <w:r w:rsidRPr="00A21FE3">
        <w:t>Debbie-Anne A. Reese,</w:t>
      </w:r>
    </w:p>
    <w:p w14:paraId="3854C507" w14:textId="77777777" w:rsidR="00A21FE3" w:rsidRPr="00A21FE3" w:rsidRDefault="00A21FE3" w:rsidP="00A21FE3">
      <w:pPr>
        <w:widowControl/>
        <w:ind w:firstLine="2606"/>
        <w:jc w:val="center"/>
      </w:pPr>
      <w:r w:rsidRPr="00A21FE3">
        <w:t>Secretary.</w:t>
      </w:r>
    </w:p>
    <w:p w14:paraId="27176F4B" w14:textId="77777777" w:rsidR="00A21FE3" w:rsidRPr="00CD0B38" w:rsidRDefault="00A21FE3" w:rsidP="00A21FE3">
      <w:pPr>
        <w:widowControl/>
      </w:pPr>
    </w:p>
    <w:p w14:paraId="49154A3E" w14:textId="77777777" w:rsidR="00D42B1D" w:rsidRPr="00401A63" w:rsidRDefault="00D42B1D" w:rsidP="00401A63"/>
    <w:p w14:paraId="50CDF6A0" w14:textId="77777777" w:rsidR="00FF32A1" w:rsidRPr="0003382F" w:rsidRDefault="00FF32A1" w:rsidP="00985057"/>
    <w:sectPr w:rsidR="00FF32A1" w:rsidRPr="0003382F" w:rsidSect="00D42B1D">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D6A1C" w14:textId="77777777" w:rsidR="00CF0FBD" w:rsidRDefault="00CF0FBD" w:rsidP="0048020B">
      <w:r>
        <w:separator/>
      </w:r>
    </w:p>
  </w:endnote>
  <w:endnote w:type="continuationSeparator" w:id="0">
    <w:p w14:paraId="2170AB01" w14:textId="77777777" w:rsidR="00CF0FBD" w:rsidRDefault="00CF0FBD" w:rsidP="0048020B">
      <w:r>
        <w:continuationSeparator/>
      </w:r>
    </w:p>
  </w:endnote>
  <w:endnote w:type="continuationNotice" w:id="1">
    <w:p w14:paraId="5C167E07" w14:textId="77777777" w:rsidR="00CF0FBD" w:rsidRDefault="00CF0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57DA" w14:textId="77777777" w:rsidR="00CF0FBD" w:rsidRDefault="00CF0FBD" w:rsidP="0048020B">
      <w:r>
        <w:separator/>
      </w:r>
    </w:p>
  </w:footnote>
  <w:footnote w:type="continuationSeparator" w:id="0">
    <w:p w14:paraId="3F464049" w14:textId="77777777" w:rsidR="00CF0FBD" w:rsidRDefault="00CF0FBD" w:rsidP="0048020B">
      <w:r>
        <w:continuationSeparator/>
      </w:r>
    </w:p>
  </w:footnote>
  <w:footnote w:type="continuationNotice" w:id="1">
    <w:p w14:paraId="44F56AAC" w14:textId="77777777" w:rsidR="00CF0FBD" w:rsidRPr="00654468" w:rsidRDefault="00CF0FBD" w:rsidP="00654468">
      <w:pPr>
        <w:spacing w:line="14" w:lineRule="exact"/>
        <w:rPr>
          <w:sz w:val="2"/>
        </w:rPr>
      </w:pPr>
    </w:p>
  </w:footnote>
  <w:footnote w:id="2">
    <w:p w14:paraId="34998F36" w14:textId="77777777" w:rsidR="00076BCF" w:rsidRPr="008E13E3" w:rsidRDefault="00076BCF" w:rsidP="00076BCF">
      <w:pPr>
        <w:pStyle w:val="FootnoteText"/>
      </w:pPr>
      <w:r w:rsidRPr="008E13E3">
        <w:rPr>
          <w:rStyle w:val="FootnoteReference"/>
        </w:rPr>
        <w:footnoteRef/>
      </w:r>
      <w:r w:rsidRPr="008E13E3">
        <w:t xml:space="preserve"> </w:t>
      </w:r>
      <w:r w:rsidR="00743700" w:rsidRPr="008E13E3">
        <w:rPr>
          <w:i/>
          <w:iCs/>
        </w:rPr>
        <w:t>San Diego Gas &amp; Elec</w:t>
      </w:r>
      <w:r w:rsidRPr="008E13E3">
        <w:rPr>
          <w:i/>
          <w:iCs/>
        </w:rPr>
        <w:t>.</w:t>
      </w:r>
      <w:r w:rsidR="00290D44" w:rsidRPr="008E13E3">
        <w:rPr>
          <w:i/>
          <w:iCs/>
        </w:rPr>
        <w:t xml:space="preserve"> Co.</w:t>
      </w:r>
      <w:r w:rsidRPr="008E13E3">
        <w:t xml:space="preserve">, </w:t>
      </w:r>
      <w:r w:rsidR="00290D44" w:rsidRPr="008E13E3">
        <w:t xml:space="preserve">189 FERC </w:t>
      </w:r>
      <w:r w:rsidR="00B74AE8" w:rsidRPr="008E13E3">
        <w:t>¶ 6</w:t>
      </w:r>
      <w:r w:rsidR="00290D44" w:rsidRPr="008E13E3">
        <w:t>1,248</w:t>
      </w:r>
      <w:r w:rsidRPr="008E13E3">
        <w:t xml:space="preserve"> (202</w:t>
      </w:r>
      <w:r w:rsidR="00290D44" w:rsidRPr="008E13E3">
        <w:t>4</w:t>
      </w:r>
      <w:r w:rsidRPr="008E13E3">
        <w:t>) (</w:t>
      </w:r>
      <w:r w:rsidR="003223DF" w:rsidRPr="008E13E3">
        <w:t xml:space="preserve">Formula </w:t>
      </w:r>
      <w:r w:rsidR="00F02C65" w:rsidRPr="008E13E3">
        <w:t>Rate</w:t>
      </w:r>
      <w:r w:rsidRPr="008E13E3">
        <w:t xml:space="preserve"> Order).</w:t>
      </w:r>
    </w:p>
  </w:footnote>
  <w:footnote w:id="3">
    <w:p w14:paraId="0217D6F9" w14:textId="77777777" w:rsidR="00076BCF" w:rsidRPr="008E13E3" w:rsidRDefault="00076BCF" w:rsidP="00076BCF">
      <w:pPr>
        <w:pStyle w:val="FootnoteText"/>
        <w:rPr>
          <w:lang w:val="de-DE"/>
        </w:rPr>
      </w:pPr>
      <w:r w:rsidRPr="008E13E3">
        <w:rPr>
          <w:rStyle w:val="FootnoteReference"/>
        </w:rPr>
        <w:footnoteRef/>
      </w:r>
      <w:r w:rsidRPr="008E13E3">
        <w:rPr>
          <w:lang w:val="de-DE"/>
        </w:rPr>
        <w:t xml:space="preserve"> </w:t>
      </w:r>
      <w:r w:rsidRPr="008E13E3">
        <w:rPr>
          <w:i/>
          <w:iCs/>
          <w:lang w:val="de-DE"/>
        </w:rPr>
        <w:t>Id.</w:t>
      </w:r>
      <w:r w:rsidRPr="008E13E3">
        <w:rPr>
          <w:lang w:val="de-DE"/>
        </w:rPr>
        <w:t xml:space="preserve"> P</w:t>
      </w:r>
      <w:r w:rsidR="00B74AE8" w:rsidRPr="008E13E3">
        <w:rPr>
          <w:lang w:val="de-DE"/>
        </w:rPr>
        <w:t>P 3</w:t>
      </w:r>
      <w:r w:rsidRPr="008E13E3">
        <w:rPr>
          <w:lang w:val="de-DE"/>
        </w:rPr>
        <w:t xml:space="preserve">5-43.  </w:t>
      </w:r>
    </w:p>
  </w:footnote>
  <w:footnote w:id="4">
    <w:p w14:paraId="679EC574" w14:textId="77777777" w:rsidR="00076BCF" w:rsidRPr="008E13E3" w:rsidRDefault="00076BCF" w:rsidP="00076BCF">
      <w:pPr>
        <w:pStyle w:val="FootnoteText"/>
        <w:rPr>
          <w:lang w:val="de-DE"/>
        </w:rPr>
      </w:pPr>
      <w:r w:rsidRPr="008E13E3">
        <w:rPr>
          <w:rStyle w:val="FootnoteReference"/>
        </w:rPr>
        <w:footnoteRef/>
      </w:r>
      <w:r w:rsidRPr="008E13E3">
        <w:rPr>
          <w:lang w:val="de-DE"/>
        </w:rPr>
        <w:t xml:space="preserve"> 964 F.3d 1 (D.C. Cir. 2020) (en banc).</w:t>
      </w:r>
    </w:p>
  </w:footnote>
  <w:footnote w:id="5">
    <w:p w14:paraId="5109D96B" w14:textId="77777777" w:rsidR="00076BCF" w:rsidRPr="008E13E3" w:rsidRDefault="00076BCF" w:rsidP="00076BCF">
      <w:pPr>
        <w:pStyle w:val="FootnoteText"/>
      </w:pPr>
      <w:r w:rsidRPr="008E13E3">
        <w:rPr>
          <w:rStyle w:val="FootnoteReference"/>
        </w:rPr>
        <w:footnoteRef/>
      </w:r>
      <w:r w:rsidRPr="008E13E3">
        <w:t xml:space="preserve"> 16 U.S.C. </w:t>
      </w:r>
      <w:r w:rsidR="00B74AE8" w:rsidRPr="008E13E3">
        <w:t>§ 8</w:t>
      </w:r>
      <w:r w:rsidRPr="008E13E3">
        <w:t>25</w:t>
      </w:r>
      <w:r w:rsidRPr="008E13E3">
        <w:rPr>
          <w:i/>
          <w:iCs/>
        </w:rPr>
        <w:t>l</w:t>
      </w:r>
      <w:r w:rsidRPr="008E13E3">
        <w:t>(a) (“Until the record in a proceeding shall have been filed in a court of appeals, as provided in subsection (b), the Commission may at any time, upon reasonable notice and in such manner as it shall deem proper, modify or set aside, in whole or in part, any finding or order made or issued by it under the provisions of this chapter.”).</w:t>
      </w:r>
    </w:p>
  </w:footnote>
  <w:footnote w:id="6">
    <w:p w14:paraId="01E6CC65" w14:textId="77777777" w:rsidR="00076BCF" w:rsidRPr="008E13E3" w:rsidRDefault="00076BCF" w:rsidP="00076BCF">
      <w:pPr>
        <w:pStyle w:val="FootnoteText"/>
      </w:pPr>
      <w:r w:rsidRPr="008E13E3">
        <w:rPr>
          <w:rStyle w:val="FootnoteReference"/>
        </w:rPr>
        <w:footnoteRef/>
      </w:r>
      <w:r w:rsidRPr="008E13E3">
        <w:t xml:space="preserve"> </w:t>
      </w:r>
      <w:r w:rsidRPr="008E13E3">
        <w:rPr>
          <w:i/>
          <w:iCs/>
        </w:rPr>
        <w:t>Allegheny Def. Project</w:t>
      </w:r>
      <w:r w:rsidRPr="008E13E3">
        <w:t xml:space="preserve">, 964 F.3d at 16-17.  The Commission is not changing the outcome of the </w:t>
      </w:r>
      <w:r w:rsidR="00484E8B" w:rsidRPr="008E13E3">
        <w:t>Formula Rate</w:t>
      </w:r>
      <w:r w:rsidR="00F02C65" w:rsidRPr="008E13E3">
        <w:t xml:space="preserve"> Order</w:t>
      </w:r>
      <w:r w:rsidRPr="008E13E3">
        <w:t xml:space="preserve">.  </w:t>
      </w:r>
      <w:r w:rsidRPr="008E13E3">
        <w:rPr>
          <w:i/>
          <w:iCs/>
        </w:rPr>
        <w:t xml:space="preserve">See Smith Lake Improvement &amp; Stakeholders </w:t>
      </w:r>
      <w:proofErr w:type="spellStart"/>
      <w:r w:rsidRPr="008E13E3">
        <w:rPr>
          <w:i/>
          <w:iCs/>
        </w:rPr>
        <w:t>Ass’n</w:t>
      </w:r>
      <w:proofErr w:type="spellEnd"/>
      <w:r w:rsidRPr="008E13E3">
        <w:rPr>
          <w:i/>
          <w:iCs/>
        </w:rPr>
        <w:t xml:space="preserve"> v. FERC</w:t>
      </w:r>
      <w:r w:rsidRPr="008E13E3">
        <w:t>, 808 F.3d 55, 56-57 (D.C. Cir. 2015).</w:t>
      </w:r>
    </w:p>
  </w:footnote>
  <w:footnote w:id="7">
    <w:p w14:paraId="0E3BEF19" w14:textId="77777777" w:rsidR="00D478E8" w:rsidRPr="008E13E3" w:rsidRDefault="00D478E8">
      <w:pPr>
        <w:pStyle w:val="FootnoteText"/>
      </w:pPr>
      <w:r w:rsidRPr="008E13E3">
        <w:rPr>
          <w:rStyle w:val="FootnoteReference"/>
        </w:rPr>
        <w:footnoteRef/>
      </w:r>
      <w:r w:rsidRPr="008E13E3">
        <w:t xml:space="preserve"> </w:t>
      </w:r>
      <w:r w:rsidR="00D82650" w:rsidRPr="008E13E3">
        <w:t xml:space="preserve">Transmission Organization is defined in 18 C.F.R. </w:t>
      </w:r>
      <w:r w:rsidR="00B74AE8" w:rsidRPr="008E13E3">
        <w:t>§ 3</w:t>
      </w:r>
      <w:r w:rsidR="00D82650" w:rsidRPr="008E13E3">
        <w:t>5.34(b)(2) (2024) and includes regional transmission organizations (RTO) and independent system operators (ISO).  We use RTO generally in this order to refer to RTOs, ISOs, and other Transmission Organizations.</w:t>
      </w:r>
    </w:p>
  </w:footnote>
  <w:footnote w:id="8">
    <w:p w14:paraId="2C505299" w14:textId="77777777" w:rsidR="00991899" w:rsidRPr="008E13E3" w:rsidRDefault="00991899">
      <w:pPr>
        <w:pStyle w:val="FootnoteText"/>
      </w:pPr>
      <w:r w:rsidRPr="008E13E3">
        <w:rPr>
          <w:rStyle w:val="FootnoteReference"/>
        </w:rPr>
        <w:footnoteRef/>
      </w:r>
      <w:r w:rsidR="002B506F" w:rsidRPr="008E13E3">
        <w:t xml:space="preserve"> Transmittal Letter</w:t>
      </w:r>
      <w:r w:rsidR="00265D43" w:rsidRPr="008E13E3">
        <w:t xml:space="preserve"> at 5 (citing </w:t>
      </w:r>
      <w:r w:rsidR="00562FCD" w:rsidRPr="008E13E3">
        <w:rPr>
          <w:i/>
          <w:iCs/>
        </w:rPr>
        <w:t>Pac.</w:t>
      </w:r>
      <w:r w:rsidR="00456CBE" w:rsidRPr="008E13E3">
        <w:rPr>
          <w:i/>
          <w:iCs/>
        </w:rPr>
        <w:t xml:space="preserve"> Gas </w:t>
      </w:r>
      <w:r w:rsidR="00562FCD" w:rsidRPr="008E13E3">
        <w:rPr>
          <w:i/>
          <w:iCs/>
        </w:rPr>
        <w:t>&amp;</w:t>
      </w:r>
      <w:r w:rsidR="00456CBE" w:rsidRPr="008E13E3">
        <w:rPr>
          <w:i/>
          <w:iCs/>
        </w:rPr>
        <w:t xml:space="preserve"> </w:t>
      </w:r>
      <w:r w:rsidR="00562FCD" w:rsidRPr="008E13E3">
        <w:rPr>
          <w:i/>
          <w:iCs/>
        </w:rPr>
        <w:t>Elec.</w:t>
      </w:r>
      <w:r w:rsidR="00456CBE" w:rsidRPr="008E13E3">
        <w:rPr>
          <w:i/>
          <w:iCs/>
        </w:rPr>
        <w:t xml:space="preserve"> Co.</w:t>
      </w:r>
      <w:r w:rsidR="00456CBE" w:rsidRPr="008E13E3">
        <w:t xml:space="preserve">, 185 FERC </w:t>
      </w:r>
      <w:r w:rsidR="00B74AE8" w:rsidRPr="008E13E3">
        <w:t>¶ 6</w:t>
      </w:r>
      <w:r w:rsidR="00456CBE" w:rsidRPr="008E13E3">
        <w:t>1,243 (2023)</w:t>
      </w:r>
      <w:r w:rsidR="00F03509" w:rsidRPr="008E13E3">
        <w:t xml:space="preserve"> (</w:t>
      </w:r>
      <w:r w:rsidR="004C3B1B" w:rsidRPr="008E13E3">
        <w:t>PG&amp;E Adder Order</w:t>
      </w:r>
      <w:r w:rsidR="003515CF" w:rsidRPr="008E13E3">
        <w:t>)</w:t>
      </w:r>
      <w:r w:rsidR="00456CBE" w:rsidRPr="008E13E3">
        <w:t xml:space="preserve">, </w:t>
      </w:r>
      <w:r w:rsidR="00456CBE" w:rsidRPr="008E13E3">
        <w:rPr>
          <w:i/>
          <w:iCs/>
        </w:rPr>
        <w:t>order on reh’g</w:t>
      </w:r>
      <w:r w:rsidR="00456CBE" w:rsidRPr="008E13E3">
        <w:t xml:space="preserve">, </w:t>
      </w:r>
      <w:r w:rsidR="00F1495D" w:rsidRPr="008E13E3">
        <w:t xml:space="preserve">187 FERC </w:t>
      </w:r>
      <w:r w:rsidR="00B74AE8" w:rsidRPr="008E13E3">
        <w:t>¶ 6</w:t>
      </w:r>
      <w:r w:rsidR="00F03509" w:rsidRPr="008E13E3">
        <w:t>1,167 (2024)</w:t>
      </w:r>
      <w:r w:rsidR="003515CF" w:rsidRPr="008E13E3">
        <w:t xml:space="preserve"> (</w:t>
      </w:r>
      <w:r w:rsidR="004C3B1B" w:rsidRPr="008E13E3">
        <w:t>PG&amp;E Adder Rehearing Order</w:t>
      </w:r>
      <w:r w:rsidR="003515CF" w:rsidRPr="008E13E3">
        <w:t>)</w:t>
      </w:r>
      <w:r w:rsidR="00357F5D" w:rsidRPr="008E13E3">
        <w:t xml:space="preserve"> (together, the PG&amp;E Orders)</w:t>
      </w:r>
      <w:r w:rsidR="00341EA2" w:rsidRPr="008E13E3">
        <w:t xml:space="preserve">; </w:t>
      </w:r>
      <w:r w:rsidR="007A2AE4" w:rsidRPr="008E13E3">
        <w:t>Assemb</w:t>
      </w:r>
      <w:r w:rsidR="007A2AE4">
        <w:t>ly</w:t>
      </w:r>
      <w:r w:rsidR="00C46B4A" w:rsidRPr="008E13E3">
        <w:t xml:space="preserve"> B. 209, 2022 Cal. Stat</w:t>
      </w:r>
      <w:r w:rsidR="00624D6B" w:rsidRPr="008E13E3">
        <w:t xml:space="preserve"> </w:t>
      </w:r>
      <w:r w:rsidR="00C46B4A" w:rsidRPr="008E13E3">
        <w:t>(effective Sept. 6, 2022) (AB 209))</w:t>
      </w:r>
      <w:r w:rsidR="00F03509" w:rsidRPr="008E13E3">
        <w:t xml:space="preserve">. </w:t>
      </w:r>
    </w:p>
  </w:footnote>
  <w:footnote w:id="9">
    <w:p w14:paraId="207D9120" w14:textId="77777777" w:rsidR="003E3E93" w:rsidRPr="008E13E3" w:rsidRDefault="003E3E93">
      <w:pPr>
        <w:pStyle w:val="FootnoteText"/>
      </w:pPr>
      <w:r w:rsidRPr="008E13E3">
        <w:rPr>
          <w:rStyle w:val="FootnoteReference"/>
        </w:rPr>
        <w:footnoteRef/>
      </w:r>
      <w:r w:rsidR="00CB529E" w:rsidRPr="008E13E3">
        <w:t xml:space="preserve"> </w:t>
      </w:r>
      <w:r w:rsidR="00CB529E" w:rsidRPr="008E13E3">
        <w:rPr>
          <w:i/>
          <w:iCs/>
        </w:rPr>
        <w:t>Id.</w:t>
      </w:r>
      <w:r w:rsidR="00CA231E" w:rsidRPr="008E13E3">
        <w:t xml:space="preserve"> </w:t>
      </w:r>
      <w:r w:rsidRPr="008E13E3">
        <w:t xml:space="preserve"> </w:t>
      </w:r>
    </w:p>
  </w:footnote>
  <w:footnote w:id="10">
    <w:p w14:paraId="0C352E6D" w14:textId="77777777" w:rsidR="00981AF2" w:rsidRPr="008E13E3" w:rsidRDefault="00981AF2" w:rsidP="00981AF2">
      <w:pPr>
        <w:pStyle w:val="FootnoteText"/>
      </w:pPr>
      <w:r w:rsidRPr="008E13E3">
        <w:rPr>
          <w:rStyle w:val="FootnoteReference"/>
        </w:rPr>
        <w:footnoteRef/>
      </w:r>
      <w:r w:rsidRPr="008E13E3">
        <w:t xml:space="preserve"> </w:t>
      </w:r>
      <w:r w:rsidR="00484E8B" w:rsidRPr="008E13E3">
        <w:t>Formula Rate</w:t>
      </w:r>
      <w:r w:rsidR="00F02C65" w:rsidRPr="008E13E3">
        <w:t xml:space="preserve"> Order</w:t>
      </w:r>
      <w:r w:rsidRPr="008E13E3">
        <w:t xml:space="preserve">, </w:t>
      </w:r>
      <w:r w:rsidR="008D0977" w:rsidRPr="008E13E3">
        <w:t xml:space="preserve">189 FERC </w:t>
      </w:r>
      <w:r w:rsidR="00B74AE8" w:rsidRPr="008E13E3">
        <w:t>¶ 6</w:t>
      </w:r>
      <w:r w:rsidR="008D0977" w:rsidRPr="008E13E3">
        <w:t xml:space="preserve">1,248 </w:t>
      </w:r>
      <w:r w:rsidRPr="008E13E3">
        <w:t>at P</w:t>
      </w:r>
      <w:r w:rsidR="00B74AE8" w:rsidRPr="008E13E3">
        <w:t>P 3</w:t>
      </w:r>
      <w:r w:rsidR="004E079A" w:rsidRPr="008E13E3">
        <w:t>2-</w:t>
      </w:r>
      <w:r w:rsidRPr="008E13E3">
        <w:t>3</w:t>
      </w:r>
      <w:r w:rsidR="004E079A" w:rsidRPr="008E13E3">
        <w:t>3</w:t>
      </w:r>
      <w:r w:rsidRPr="008E13E3">
        <w:t>.</w:t>
      </w:r>
    </w:p>
  </w:footnote>
  <w:footnote w:id="11">
    <w:p w14:paraId="6F42CF1B" w14:textId="77777777" w:rsidR="00154B7F" w:rsidRPr="008E13E3" w:rsidRDefault="00154B7F">
      <w:pPr>
        <w:pStyle w:val="FootnoteText"/>
      </w:pPr>
      <w:r w:rsidRPr="008E13E3">
        <w:rPr>
          <w:rStyle w:val="FootnoteReference"/>
        </w:rPr>
        <w:footnoteRef/>
      </w:r>
      <w:r w:rsidRPr="008E13E3">
        <w:t xml:space="preserve"> </w:t>
      </w:r>
      <w:r w:rsidR="00DB7468" w:rsidRPr="008E13E3">
        <w:rPr>
          <w:i/>
          <w:iCs/>
        </w:rPr>
        <w:t>Id.</w:t>
      </w:r>
      <w:r w:rsidR="00DB7468" w:rsidRPr="008E13E3">
        <w:t xml:space="preserve"> </w:t>
      </w:r>
      <w:r w:rsidR="00B74AE8" w:rsidRPr="008E13E3">
        <w:t>P 3</w:t>
      </w:r>
      <w:r w:rsidR="00DB7468" w:rsidRPr="008E13E3">
        <w:t>3.</w:t>
      </w:r>
    </w:p>
  </w:footnote>
  <w:footnote w:id="12">
    <w:p w14:paraId="711031E5" w14:textId="77777777" w:rsidR="00981AF2" w:rsidRPr="008E13E3" w:rsidRDefault="00981AF2" w:rsidP="00981AF2">
      <w:pPr>
        <w:pStyle w:val="FootnoteText"/>
        <w:rPr>
          <w:i/>
          <w:iCs/>
        </w:rPr>
      </w:pPr>
      <w:r w:rsidRPr="008E13E3">
        <w:rPr>
          <w:rStyle w:val="FootnoteReference"/>
        </w:rPr>
        <w:footnoteRef/>
      </w:r>
      <w:r w:rsidRPr="008E13E3">
        <w:t xml:space="preserve"> Under California law, an “electrical corporation” is “every corporation or person owning, controlling, operating, or managing any electric plant for compensation within the state.”  Cal. Pub. Util. Code </w:t>
      </w:r>
      <w:r w:rsidR="00B74AE8" w:rsidRPr="008E13E3">
        <w:t>§ 2</w:t>
      </w:r>
      <w:r w:rsidRPr="008E13E3">
        <w:t xml:space="preserve">18.  The Commission in the </w:t>
      </w:r>
      <w:r w:rsidR="00484E8B" w:rsidRPr="008E13E3">
        <w:t>Formula Rate</w:t>
      </w:r>
      <w:r w:rsidR="00F02C65" w:rsidRPr="008E13E3">
        <w:t xml:space="preserve"> Order</w:t>
      </w:r>
      <w:r w:rsidRPr="008E13E3">
        <w:t xml:space="preserve"> found that, as the owner of the electric facilities at issue in this proceeding, </w:t>
      </w:r>
      <w:r w:rsidR="00E22B37" w:rsidRPr="008E13E3">
        <w:t>SDG&amp;E</w:t>
      </w:r>
      <w:r w:rsidRPr="008E13E3">
        <w:t xml:space="preserve"> meets the definition of “electrical corporation” for purposes of the CAISO participation </w:t>
      </w:r>
      <w:proofErr w:type="gramStart"/>
      <w:r w:rsidRPr="008E13E3">
        <w:t>requirement, and</w:t>
      </w:r>
      <w:proofErr w:type="gramEnd"/>
      <w:r w:rsidRPr="008E13E3">
        <w:t xml:space="preserve"> observed that </w:t>
      </w:r>
      <w:r w:rsidR="00E22B37" w:rsidRPr="008E13E3">
        <w:t>SDG&amp;E</w:t>
      </w:r>
      <w:r w:rsidRPr="008E13E3">
        <w:t xml:space="preserve"> does not dispute the applicability of the statute.  </w:t>
      </w:r>
      <w:r w:rsidR="00484E8B" w:rsidRPr="008E13E3">
        <w:t>Formula Rate</w:t>
      </w:r>
      <w:r w:rsidRPr="008E13E3">
        <w:t xml:space="preserve"> Order, 18</w:t>
      </w:r>
      <w:r w:rsidR="00E17593" w:rsidRPr="008E13E3">
        <w:t>9</w:t>
      </w:r>
      <w:r w:rsidRPr="008E13E3">
        <w:t xml:space="preserve"> FERC </w:t>
      </w:r>
      <w:r w:rsidR="00B74AE8" w:rsidRPr="008E13E3">
        <w:t>¶ 6</w:t>
      </w:r>
      <w:r w:rsidRPr="008E13E3">
        <w:t>1,24</w:t>
      </w:r>
      <w:r w:rsidR="00E17593" w:rsidRPr="008E13E3">
        <w:t>8</w:t>
      </w:r>
      <w:r w:rsidRPr="008E13E3">
        <w:t xml:space="preserve"> at </w:t>
      </w:r>
      <w:r w:rsidR="00B74AE8" w:rsidRPr="008E13E3">
        <w:t>P 3</w:t>
      </w:r>
      <w:r w:rsidR="00E17593" w:rsidRPr="008E13E3">
        <w:t>7</w:t>
      </w:r>
      <w:r w:rsidRPr="008E13E3">
        <w:t xml:space="preserve"> n.</w:t>
      </w:r>
      <w:r w:rsidR="00E17593" w:rsidRPr="008E13E3">
        <w:t>6</w:t>
      </w:r>
      <w:r w:rsidRPr="008E13E3">
        <w:t>9.</w:t>
      </w:r>
    </w:p>
  </w:footnote>
  <w:footnote w:id="13">
    <w:p w14:paraId="15571E66" w14:textId="77777777" w:rsidR="00981AF2" w:rsidRPr="008E13E3" w:rsidRDefault="00981AF2" w:rsidP="00981AF2">
      <w:pPr>
        <w:pStyle w:val="FootnoteText"/>
      </w:pPr>
      <w:r w:rsidRPr="008E13E3">
        <w:rPr>
          <w:rStyle w:val="FootnoteReference"/>
        </w:rPr>
        <w:footnoteRef/>
      </w:r>
      <w:r w:rsidRPr="008E13E3">
        <w:t xml:space="preserve"> </w:t>
      </w:r>
      <w:r w:rsidR="00484E8B" w:rsidRPr="008E13E3">
        <w:t>Formula Rate</w:t>
      </w:r>
      <w:r w:rsidR="0019098E" w:rsidRPr="008E13E3">
        <w:t xml:space="preserve"> Order</w:t>
      </w:r>
      <w:r w:rsidR="00175203" w:rsidRPr="008E13E3">
        <w:t xml:space="preserve">, 189 FERC </w:t>
      </w:r>
      <w:r w:rsidR="00B74AE8" w:rsidRPr="008E13E3">
        <w:t>¶ 6</w:t>
      </w:r>
      <w:r w:rsidR="00175203" w:rsidRPr="008E13E3">
        <w:t xml:space="preserve">1,248 at </w:t>
      </w:r>
      <w:r w:rsidR="001927A5" w:rsidRPr="008E13E3">
        <w:t>P</w:t>
      </w:r>
      <w:r w:rsidR="00B74AE8" w:rsidRPr="008E13E3">
        <w:t>P 3</w:t>
      </w:r>
      <w:r w:rsidR="001927A5" w:rsidRPr="008E13E3">
        <w:t xml:space="preserve">7-38 (citing </w:t>
      </w:r>
      <w:r w:rsidRPr="008E13E3">
        <w:t>Cal. Pub. Util. Code §</w:t>
      </w:r>
      <w:r w:rsidR="00B74AE8" w:rsidRPr="008E13E3">
        <w:t>§ 3</w:t>
      </w:r>
      <w:r w:rsidRPr="008E13E3">
        <w:t>62 (c)</w:t>
      </w:r>
      <w:r w:rsidR="00BA57D0">
        <w:t>,</w:t>
      </w:r>
      <w:r w:rsidRPr="008E13E3">
        <w:t xml:space="preserve"> (d); </w:t>
      </w:r>
      <w:bookmarkStart w:id="0" w:name="_Hlk190876801"/>
      <w:r w:rsidRPr="008E13E3">
        <w:t>AB 209</w:t>
      </w:r>
      <w:r w:rsidR="00306B85" w:rsidRPr="008E13E3">
        <w:t xml:space="preserve"> §</w:t>
      </w:r>
      <w:r w:rsidR="00B74AE8" w:rsidRPr="008E13E3">
        <w:t>§ 1</w:t>
      </w:r>
      <w:r w:rsidR="00306B85" w:rsidRPr="008E13E3">
        <w:t>(a)(2) &amp; (b)(1)</w:t>
      </w:r>
      <w:r w:rsidRPr="008E13E3">
        <w:t>)</w:t>
      </w:r>
      <w:bookmarkEnd w:id="0"/>
      <w:r w:rsidRPr="008E13E3">
        <w:t>.</w:t>
      </w:r>
    </w:p>
  </w:footnote>
  <w:footnote w:id="14">
    <w:p w14:paraId="4A35DA70" w14:textId="77777777" w:rsidR="00981AF2" w:rsidRPr="008E13E3" w:rsidRDefault="00981AF2" w:rsidP="00981AF2">
      <w:pPr>
        <w:pStyle w:val="FootnoteText"/>
      </w:pPr>
      <w:r w:rsidRPr="008E13E3">
        <w:rPr>
          <w:rStyle w:val="FootnoteReference"/>
        </w:rPr>
        <w:footnoteRef/>
      </w:r>
      <w:r w:rsidRPr="008E13E3">
        <w:t xml:space="preserve"> </w:t>
      </w:r>
      <w:r w:rsidR="008E25ED" w:rsidRPr="008E13E3">
        <w:t>Formula Rate Order</w:t>
      </w:r>
      <w:r w:rsidR="00BE10E4" w:rsidRPr="008E13E3">
        <w:t>, 189 FERC ¶ 61,248 at</w:t>
      </w:r>
      <w:r w:rsidRPr="008E13E3">
        <w:t xml:space="preserve"> </w:t>
      </w:r>
      <w:r w:rsidR="00B74AE8" w:rsidRPr="008E13E3">
        <w:t>P 3</w:t>
      </w:r>
      <w:r w:rsidR="00306B85" w:rsidRPr="008E13E3">
        <w:t>8</w:t>
      </w:r>
      <w:r w:rsidRPr="008E13E3">
        <w:t>.</w:t>
      </w:r>
    </w:p>
  </w:footnote>
  <w:footnote w:id="15">
    <w:p w14:paraId="0F09DB0C" w14:textId="77777777" w:rsidR="00981AF2" w:rsidRPr="008E13E3" w:rsidRDefault="00981AF2" w:rsidP="00981AF2">
      <w:pPr>
        <w:pStyle w:val="FootnoteText"/>
        <w:rPr>
          <w:szCs w:val="26"/>
        </w:rPr>
      </w:pPr>
      <w:r w:rsidRPr="008E13E3">
        <w:rPr>
          <w:rStyle w:val="FootnoteReference"/>
        </w:rPr>
        <w:footnoteRef/>
      </w:r>
      <w:r w:rsidRPr="008E13E3">
        <w:rPr>
          <w:szCs w:val="26"/>
        </w:rPr>
        <w:t xml:space="preserve"> </w:t>
      </w:r>
      <w:r w:rsidRPr="008E13E3">
        <w:rPr>
          <w:i/>
          <w:iCs/>
          <w:szCs w:val="26"/>
        </w:rPr>
        <w:t>Id.</w:t>
      </w:r>
      <w:r w:rsidRPr="008E13E3">
        <w:rPr>
          <w:szCs w:val="26"/>
        </w:rPr>
        <w:t xml:space="preserve"> </w:t>
      </w:r>
      <w:r w:rsidR="00B74AE8" w:rsidRPr="008E13E3">
        <w:rPr>
          <w:szCs w:val="26"/>
        </w:rPr>
        <w:t>P 3</w:t>
      </w:r>
      <w:r w:rsidR="009D7AF6" w:rsidRPr="008E13E3">
        <w:rPr>
          <w:szCs w:val="26"/>
        </w:rPr>
        <w:t>9</w:t>
      </w:r>
      <w:r w:rsidRPr="008E13E3">
        <w:rPr>
          <w:szCs w:val="26"/>
        </w:rPr>
        <w:t xml:space="preserve"> &amp; n.</w:t>
      </w:r>
      <w:r w:rsidR="009D7AF6" w:rsidRPr="008E13E3">
        <w:rPr>
          <w:szCs w:val="26"/>
        </w:rPr>
        <w:t>74</w:t>
      </w:r>
      <w:r w:rsidRPr="008E13E3">
        <w:rPr>
          <w:szCs w:val="26"/>
        </w:rPr>
        <w:t xml:space="preserve"> (citing </w:t>
      </w:r>
      <w:r w:rsidRPr="008E13E3">
        <w:rPr>
          <w:i/>
          <w:szCs w:val="26"/>
        </w:rPr>
        <w:t>Blumenthal v. FERC</w:t>
      </w:r>
      <w:r w:rsidRPr="008E13E3">
        <w:rPr>
          <w:iCs/>
          <w:szCs w:val="26"/>
        </w:rPr>
        <w:t xml:space="preserve">, 613 F.3d 1142, 1144 (D.C. Cir. 2010); </w:t>
      </w:r>
      <w:r w:rsidRPr="008E13E3">
        <w:rPr>
          <w:i/>
          <w:iCs/>
          <w:szCs w:val="26"/>
        </w:rPr>
        <w:t>Woolen Mill Assoc. v. FERC</w:t>
      </w:r>
      <w:r w:rsidRPr="008E13E3">
        <w:rPr>
          <w:iCs/>
          <w:szCs w:val="26"/>
        </w:rPr>
        <w:t>, 917 F.2d 589, 592 (D.C. Cir. 1990)).</w:t>
      </w:r>
    </w:p>
  </w:footnote>
  <w:footnote w:id="16">
    <w:p w14:paraId="08252578" w14:textId="77777777" w:rsidR="00981AF2" w:rsidRPr="008E13E3" w:rsidRDefault="00981AF2" w:rsidP="00981AF2">
      <w:pPr>
        <w:pStyle w:val="FootnoteText"/>
      </w:pPr>
      <w:r w:rsidRPr="008E13E3">
        <w:rPr>
          <w:rStyle w:val="FootnoteReference"/>
        </w:rPr>
        <w:footnoteRef/>
      </w:r>
      <w:r w:rsidRPr="008E13E3">
        <w:t xml:space="preserve"> </w:t>
      </w:r>
      <w:r w:rsidRPr="008E13E3">
        <w:rPr>
          <w:i/>
          <w:iCs/>
        </w:rPr>
        <w:t>Id.</w:t>
      </w:r>
      <w:r w:rsidRPr="008E13E3">
        <w:rPr>
          <w:iCs/>
        </w:rPr>
        <w:t xml:space="preserve"> </w:t>
      </w:r>
      <w:r w:rsidR="00B74AE8" w:rsidRPr="008E13E3">
        <w:t>P 4</w:t>
      </w:r>
      <w:r w:rsidR="009763A4" w:rsidRPr="008E13E3">
        <w:t>0</w:t>
      </w:r>
      <w:r w:rsidRPr="008E13E3">
        <w:t>.</w:t>
      </w:r>
    </w:p>
  </w:footnote>
  <w:footnote w:id="17">
    <w:p w14:paraId="141B125C" w14:textId="77777777" w:rsidR="00264D79" w:rsidRPr="008E13E3" w:rsidRDefault="00264D79">
      <w:pPr>
        <w:pStyle w:val="FootnoteText"/>
      </w:pPr>
      <w:r w:rsidRPr="008E13E3">
        <w:rPr>
          <w:rStyle w:val="FootnoteReference"/>
        </w:rPr>
        <w:footnoteRef/>
      </w:r>
      <w:r w:rsidRPr="008E13E3">
        <w:t xml:space="preserve"> </w:t>
      </w:r>
      <w:r w:rsidRPr="008E13E3">
        <w:rPr>
          <w:i/>
          <w:iCs/>
        </w:rPr>
        <w:t>Id.</w:t>
      </w:r>
      <w:r w:rsidRPr="008E13E3">
        <w:t xml:space="preserve"> </w:t>
      </w:r>
      <w:r w:rsidR="00B74AE8" w:rsidRPr="008E13E3">
        <w:t>P 4</w:t>
      </w:r>
      <w:r w:rsidRPr="008E13E3">
        <w:t xml:space="preserve">1 (citing </w:t>
      </w:r>
      <w:r w:rsidR="004B4F7F" w:rsidRPr="008E13E3">
        <w:rPr>
          <w:i/>
          <w:iCs/>
        </w:rPr>
        <w:t>Dayton Power &amp; Light Co.</w:t>
      </w:r>
      <w:r w:rsidR="004B4F7F" w:rsidRPr="008E13E3">
        <w:t xml:space="preserve">, 176 FERC </w:t>
      </w:r>
      <w:r w:rsidR="00B74AE8" w:rsidRPr="008E13E3">
        <w:t>¶ 6</w:t>
      </w:r>
      <w:r w:rsidR="004B4F7F" w:rsidRPr="008E13E3">
        <w:t xml:space="preserve">1,025, at </w:t>
      </w:r>
      <w:r w:rsidR="00B74AE8" w:rsidRPr="008E13E3">
        <w:t>P 7</w:t>
      </w:r>
      <w:r w:rsidR="004B4F7F" w:rsidRPr="008E13E3">
        <w:t xml:space="preserve">1 (2019), </w:t>
      </w:r>
      <w:r w:rsidR="004B4F7F" w:rsidRPr="008E13E3">
        <w:rPr>
          <w:i/>
          <w:iCs/>
        </w:rPr>
        <w:t>order on reh’g</w:t>
      </w:r>
      <w:r w:rsidR="004B4F7F" w:rsidRPr="008E13E3">
        <w:t xml:space="preserve">, 178 FERC </w:t>
      </w:r>
      <w:r w:rsidR="00B74AE8" w:rsidRPr="008E13E3">
        <w:t>¶ 6</w:t>
      </w:r>
      <w:r w:rsidR="004B4F7F" w:rsidRPr="008E13E3">
        <w:t>1,102 (2022)</w:t>
      </w:r>
      <w:r w:rsidR="001A7505" w:rsidRPr="008E13E3">
        <w:t xml:space="preserve">, </w:t>
      </w:r>
      <w:r w:rsidR="001A7505" w:rsidRPr="008E13E3">
        <w:rPr>
          <w:i/>
          <w:iCs/>
        </w:rPr>
        <w:t>aff’d</w:t>
      </w:r>
      <w:r w:rsidR="006B687A" w:rsidRPr="008E13E3">
        <w:t xml:space="preserve">, </w:t>
      </w:r>
      <w:r w:rsidR="006B687A" w:rsidRPr="008E13E3">
        <w:rPr>
          <w:i/>
          <w:iCs/>
        </w:rPr>
        <w:t>Dayton Power &amp; Light Co. v. FERC</w:t>
      </w:r>
      <w:r w:rsidR="001A7505" w:rsidRPr="008E13E3">
        <w:t>, 126 F.4th 1107 (6th Cir. 2025) (</w:t>
      </w:r>
      <w:r w:rsidR="001A7505" w:rsidRPr="008E13E3">
        <w:rPr>
          <w:i/>
          <w:iCs/>
        </w:rPr>
        <w:t>Dayton</w:t>
      </w:r>
      <w:r w:rsidR="004B4F7F" w:rsidRPr="008E13E3">
        <w:t xml:space="preserve">); </w:t>
      </w:r>
      <w:r w:rsidR="004C3B1B" w:rsidRPr="008E13E3">
        <w:t>PG&amp;E Adder Order</w:t>
      </w:r>
      <w:r w:rsidR="00D636D3" w:rsidRPr="008E13E3">
        <w:t>, 185 FERC ¶ 61,243</w:t>
      </w:r>
      <w:r w:rsidR="00A81CE1" w:rsidRPr="008E13E3">
        <w:t xml:space="preserve"> at </w:t>
      </w:r>
      <w:r w:rsidR="00B74AE8" w:rsidRPr="008E13E3">
        <w:t>P 5</w:t>
      </w:r>
      <w:r w:rsidR="00A81CE1" w:rsidRPr="008E13E3">
        <w:t xml:space="preserve">4). </w:t>
      </w:r>
    </w:p>
  </w:footnote>
  <w:footnote w:id="18">
    <w:p w14:paraId="6D9C1BE0" w14:textId="77777777" w:rsidR="0030750A" w:rsidRPr="008E13E3" w:rsidRDefault="0030750A">
      <w:pPr>
        <w:pStyle w:val="FootnoteText"/>
      </w:pPr>
      <w:r w:rsidRPr="008E13E3">
        <w:rPr>
          <w:rStyle w:val="FootnoteReference"/>
        </w:rPr>
        <w:footnoteRef/>
      </w:r>
      <w:r w:rsidRPr="008E13E3">
        <w:t xml:space="preserve"> 16 U.S.C. </w:t>
      </w:r>
      <w:r w:rsidR="00B74AE8" w:rsidRPr="008E13E3">
        <w:t>§ 8</w:t>
      </w:r>
      <w:r w:rsidR="00584DB9" w:rsidRPr="008E13E3">
        <w:t xml:space="preserve">24s(c). </w:t>
      </w:r>
    </w:p>
  </w:footnote>
  <w:footnote w:id="19">
    <w:p w14:paraId="18E65305" w14:textId="77777777" w:rsidR="00F7058D" w:rsidRPr="008E13E3" w:rsidRDefault="00F7058D">
      <w:pPr>
        <w:pStyle w:val="FootnoteText"/>
      </w:pPr>
      <w:r w:rsidRPr="008E13E3">
        <w:rPr>
          <w:rStyle w:val="FootnoteReference"/>
        </w:rPr>
        <w:footnoteRef/>
      </w:r>
      <w:r w:rsidRPr="008E13E3">
        <w:t xml:space="preserve"> </w:t>
      </w:r>
      <w:r w:rsidR="00484E8B" w:rsidRPr="008E13E3">
        <w:t>Formula Rate</w:t>
      </w:r>
      <w:r w:rsidR="0019098E" w:rsidRPr="008E13E3">
        <w:t xml:space="preserve"> Order</w:t>
      </w:r>
      <w:r w:rsidR="00A21652" w:rsidRPr="008E13E3">
        <w:t xml:space="preserve">, 189 FERC </w:t>
      </w:r>
      <w:r w:rsidR="00B74AE8" w:rsidRPr="008E13E3">
        <w:t>¶ 6</w:t>
      </w:r>
      <w:r w:rsidR="00A21652" w:rsidRPr="008E13E3">
        <w:t>1,248 at</w:t>
      </w:r>
      <w:r w:rsidRPr="008E13E3">
        <w:t xml:space="preserve"> </w:t>
      </w:r>
      <w:r w:rsidR="00B74AE8" w:rsidRPr="008E13E3">
        <w:t>P 4</w:t>
      </w:r>
      <w:r w:rsidRPr="008E13E3">
        <w:t xml:space="preserve">2. </w:t>
      </w:r>
    </w:p>
  </w:footnote>
  <w:footnote w:id="20">
    <w:p w14:paraId="570B96FF" w14:textId="77777777" w:rsidR="00D26939" w:rsidRPr="008E13E3" w:rsidRDefault="00D26939">
      <w:pPr>
        <w:pStyle w:val="FootnoteText"/>
      </w:pPr>
      <w:r w:rsidRPr="008E13E3">
        <w:rPr>
          <w:rStyle w:val="FootnoteReference"/>
        </w:rPr>
        <w:footnoteRef/>
      </w:r>
      <w:r w:rsidRPr="008E13E3">
        <w:t xml:space="preserve"> Rehearing Request at 8 (quoting </w:t>
      </w:r>
      <w:r w:rsidR="004C3B1B" w:rsidRPr="008E13E3">
        <w:t>PG&amp;E Adder Order</w:t>
      </w:r>
      <w:r w:rsidR="0055025C" w:rsidRPr="008E13E3">
        <w:t xml:space="preserve">, 185 FERC </w:t>
      </w:r>
      <w:r w:rsidR="00B74AE8" w:rsidRPr="008E13E3">
        <w:t>¶ 6</w:t>
      </w:r>
      <w:r w:rsidR="0055025C" w:rsidRPr="008E13E3">
        <w:t>1,243</w:t>
      </w:r>
      <w:r w:rsidRPr="008E13E3">
        <w:t xml:space="preserve"> at </w:t>
      </w:r>
      <w:r w:rsidR="00B74AE8" w:rsidRPr="008E13E3">
        <w:t>P 4</w:t>
      </w:r>
      <w:r w:rsidRPr="008E13E3">
        <w:t xml:space="preserve">3 (emphasis added)). </w:t>
      </w:r>
    </w:p>
  </w:footnote>
  <w:footnote w:id="21">
    <w:p w14:paraId="72AC869B" w14:textId="77777777" w:rsidR="00431655" w:rsidRPr="008E13E3" w:rsidRDefault="00431655">
      <w:pPr>
        <w:pStyle w:val="FootnoteText"/>
      </w:pPr>
      <w:r w:rsidRPr="008E13E3">
        <w:rPr>
          <w:rStyle w:val="FootnoteReference"/>
        </w:rPr>
        <w:footnoteRef/>
      </w:r>
      <w:r w:rsidRPr="008E13E3">
        <w:t xml:space="preserve"> </w:t>
      </w:r>
      <w:r w:rsidRPr="008E13E3">
        <w:rPr>
          <w:i/>
          <w:iCs/>
        </w:rPr>
        <w:t>Id.</w:t>
      </w:r>
      <w:r w:rsidRPr="008E13E3">
        <w:t xml:space="preserve"> (citing </w:t>
      </w:r>
      <w:r w:rsidR="004C3B1B" w:rsidRPr="008E13E3">
        <w:t>PG&amp;E Adder Rehearing Order</w:t>
      </w:r>
      <w:r w:rsidR="0055025C" w:rsidRPr="008E13E3">
        <w:t xml:space="preserve">, 187 FERC </w:t>
      </w:r>
      <w:r w:rsidR="00B74AE8" w:rsidRPr="008E13E3">
        <w:t>¶ 6</w:t>
      </w:r>
      <w:r w:rsidR="0055025C" w:rsidRPr="008E13E3">
        <w:t>1,167</w:t>
      </w:r>
      <w:r w:rsidRPr="008E13E3">
        <w:t xml:space="preserve"> at </w:t>
      </w:r>
      <w:r w:rsidR="00B74AE8" w:rsidRPr="008E13E3">
        <w:t>P 3</w:t>
      </w:r>
      <w:r w:rsidRPr="008E13E3">
        <w:t xml:space="preserve">7). </w:t>
      </w:r>
    </w:p>
  </w:footnote>
  <w:footnote w:id="22">
    <w:p w14:paraId="5FB4DD92" w14:textId="77777777" w:rsidR="00862841" w:rsidRPr="008E13E3" w:rsidRDefault="00862841" w:rsidP="00862841">
      <w:pPr>
        <w:pStyle w:val="FootnoteText"/>
      </w:pPr>
      <w:r w:rsidRPr="008E13E3">
        <w:rPr>
          <w:rStyle w:val="FootnoteReference"/>
        </w:rPr>
        <w:footnoteRef/>
      </w:r>
      <w:r w:rsidRPr="008E13E3">
        <w:t xml:space="preserve"> </w:t>
      </w:r>
      <w:r w:rsidRPr="008E13E3">
        <w:rPr>
          <w:i/>
          <w:iCs/>
        </w:rPr>
        <w:t>Id.</w:t>
      </w:r>
      <w:r w:rsidRPr="008E13E3">
        <w:t xml:space="preserve"> at 13 (citing </w:t>
      </w:r>
      <w:r w:rsidR="00484E8B" w:rsidRPr="008E13E3">
        <w:t>Formula Rate</w:t>
      </w:r>
      <w:r w:rsidR="0019098E" w:rsidRPr="008E13E3">
        <w:t xml:space="preserve"> Order</w:t>
      </w:r>
      <w:r w:rsidR="00456FB6" w:rsidRPr="008E13E3">
        <w:t xml:space="preserve">, 189 FERC </w:t>
      </w:r>
      <w:r w:rsidR="00B74AE8" w:rsidRPr="008E13E3">
        <w:t>¶ 6</w:t>
      </w:r>
      <w:r w:rsidR="00456FB6" w:rsidRPr="008E13E3">
        <w:t>1,248</w:t>
      </w:r>
      <w:r w:rsidRPr="008E13E3">
        <w:t xml:space="preserve"> at </w:t>
      </w:r>
      <w:r w:rsidR="00B74AE8" w:rsidRPr="008E13E3">
        <w:t>P 3</w:t>
      </w:r>
      <w:r w:rsidRPr="008E13E3">
        <w:t xml:space="preserve">7). </w:t>
      </w:r>
    </w:p>
  </w:footnote>
  <w:footnote w:id="23">
    <w:p w14:paraId="38A50E38" w14:textId="77777777" w:rsidR="00DD6D89" w:rsidRPr="008E13E3" w:rsidRDefault="00DD6D89">
      <w:pPr>
        <w:pStyle w:val="FootnoteText"/>
      </w:pPr>
      <w:r w:rsidRPr="008E13E3">
        <w:rPr>
          <w:rStyle w:val="FootnoteReference"/>
        </w:rPr>
        <w:footnoteRef/>
      </w:r>
      <w:r w:rsidRPr="008E13E3">
        <w:t xml:space="preserve"> </w:t>
      </w:r>
      <w:r w:rsidRPr="008E13E3">
        <w:rPr>
          <w:i/>
          <w:iCs/>
        </w:rPr>
        <w:t>Id.</w:t>
      </w:r>
      <w:r w:rsidRPr="008E13E3">
        <w:t xml:space="preserve"> at 14.  </w:t>
      </w:r>
    </w:p>
  </w:footnote>
  <w:footnote w:id="24">
    <w:p w14:paraId="2F1F4E91" w14:textId="77777777" w:rsidR="00C91AEB" w:rsidRPr="008E13E3" w:rsidRDefault="00C91AEB">
      <w:pPr>
        <w:pStyle w:val="FootnoteText"/>
      </w:pPr>
      <w:r w:rsidRPr="008E13E3">
        <w:rPr>
          <w:rStyle w:val="FootnoteReference"/>
        </w:rPr>
        <w:footnoteRef/>
      </w:r>
      <w:r w:rsidRPr="008E13E3">
        <w:t xml:space="preserve"> </w:t>
      </w:r>
      <w:r w:rsidR="008F0425" w:rsidRPr="008E13E3">
        <w:rPr>
          <w:i/>
          <w:iCs/>
        </w:rPr>
        <w:t>Id.</w:t>
      </w:r>
      <w:r w:rsidR="008F0425" w:rsidRPr="008E13E3">
        <w:t xml:space="preserve"> </w:t>
      </w:r>
      <w:r w:rsidR="00297459" w:rsidRPr="008E13E3">
        <w:t>at 14-15 (citing Cal. Pub. Util. Code §</w:t>
      </w:r>
      <w:r w:rsidR="00B74AE8" w:rsidRPr="008E13E3">
        <w:t>§ 3</w:t>
      </w:r>
      <w:r w:rsidR="00FD5E72" w:rsidRPr="008E13E3">
        <w:t>99.</w:t>
      </w:r>
      <w:r w:rsidR="001847CD" w:rsidRPr="008E13E3">
        <w:t>14(a)</w:t>
      </w:r>
      <w:r w:rsidR="00937360" w:rsidRPr="008E13E3">
        <w:t xml:space="preserve">(1), </w:t>
      </w:r>
      <w:r w:rsidR="00BC43DB" w:rsidRPr="008E13E3">
        <w:t xml:space="preserve">454, 454.5, </w:t>
      </w:r>
      <w:r w:rsidR="006750E7" w:rsidRPr="008E13E3">
        <w:t xml:space="preserve">564, </w:t>
      </w:r>
      <w:r w:rsidR="00EC36A2" w:rsidRPr="008E13E3">
        <w:t xml:space="preserve">740.18, </w:t>
      </w:r>
      <w:r w:rsidR="004209AD" w:rsidRPr="008E13E3">
        <w:t xml:space="preserve">851(a), 852, </w:t>
      </w:r>
      <w:r w:rsidR="00B015F9" w:rsidRPr="008E13E3">
        <w:t>8388.5)</w:t>
      </w:r>
    </w:p>
  </w:footnote>
  <w:footnote w:id="25">
    <w:p w14:paraId="5F15CA72" w14:textId="77777777" w:rsidR="001023B0" w:rsidRPr="008E13E3" w:rsidRDefault="001023B0" w:rsidP="001023B0">
      <w:pPr>
        <w:pStyle w:val="FootnoteText"/>
      </w:pPr>
      <w:r w:rsidRPr="008E13E3">
        <w:rPr>
          <w:rStyle w:val="FootnoteReference"/>
        </w:rPr>
        <w:footnoteRef/>
      </w:r>
      <w:r w:rsidRPr="008E13E3">
        <w:t xml:space="preserve"> </w:t>
      </w:r>
      <w:r w:rsidRPr="008E13E3">
        <w:rPr>
          <w:i/>
          <w:iCs/>
        </w:rPr>
        <w:t>Id</w:t>
      </w:r>
      <w:r w:rsidRPr="008E13E3">
        <w:t xml:space="preserve">. at </w:t>
      </w:r>
      <w:r w:rsidR="00954B8D" w:rsidRPr="008E13E3">
        <w:t>15</w:t>
      </w:r>
      <w:r w:rsidRPr="008E13E3">
        <w:t xml:space="preserve"> (citing </w:t>
      </w:r>
      <w:r w:rsidRPr="008E13E3">
        <w:rPr>
          <w:i/>
          <w:iCs/>
        </w:rPr>
        <w:t>ISO New England, Inc.</w:t>
      </w:r>
      <w:r w:rsidRPr="008E13E3">
        <w:t xml:space="preserve">, 109 FERC </w:t>
      </w:r>
      <w:r w:rsidR="00B74AE8" w:rsidRPr="008E13E3">
        <w:t>¶ 6</w:t>
      </w:r>
      <w:r w:rsidRPr="008E13E3">
        <w:t xml:space="preserve">1,147, at </w:t>
      </w:r>
      <w:r w:rsidR="00B74AE8" w:rsidRPr="008E13E3">
        <w:t>P 4</w:t>
      </w:r>
      <w:r w:rsidRPr="008E13E3">
        <w:t>1 (2004))</w:t>
      </w:r>
      <w:r w:rsidR="00367ED2" w:rsidRPr="008E13E3">
        <w:t xml:space="preserve">; </w:t>
      </w:r>
      <w:r w:rsidR="00CD396E" w:rsidRPr="008E13E3">
        <w:rPr>
          <w:i/>
          <w:iCs/>
        </w:rPr>
        <w:t xml:space="preserve">see also </w:t>
      </w:r>
      <w:r w:rsidR="00315606" w:rsidRPr="008E13E3">
        <w:rPr>
          <w:i/>
          <w:iCs/>
        </w:rPr>
        <w:t>id.</w:t>
      </w:r>
      <w:r w:rsidR="00315606" w:rsidRPr="008E13E3">
        <w:t xml:space="preserve"> at </w:t>
      </w:r>
      <w:r w:rsidR="00954B8D" w:rsidRPr="008E13E3">
        <w:t>16</w:t>
      </w:r>
      <w:r w:rsidR="00315606" w:rsidRPr="008E13E3">
        <w:t xml:space="preserve"> (citing </w:t>
      </w:r>
      <w:r w:rsidR="00562FCD" w:rsidRPr="008E13E3">
        <w:rPr>
          <w:i/>
          <w:iCs/>
        </w:rPr>
        <w:t>Atl.</w:t>
      </w:r>
      <w:r w:rsidR="00315606" w:rsidRPr="008E13E3">
        <w:rPr>
          <w:i/>
          <w:iCs/>
        </w:rPr>
        <w:t xml:space="preserve"> City </w:t>
      </w:r>
      <w:r w:rsidR="00562FCD" w:rsidRPr="008E13E3">
        <w:rPr>
          <w:i/>
          <w:iCs/>
        </w:rPr>
        <w:t>Elec.</w:t>
      </w:r>
      <w:r w:rsidR="00315606" w:rsidRPr="008E13E3">
        <w:rPr>
          <w:i/>
          <w:iCs/>
        </w:rPr>
        <w:t xml:space="preserve"> Co. v. FERC</w:t>
      </w:r>
      <w:r w:rsidR="00315606" w:rsidRPr="008E13E3">
        <w:t>, 295 F.3d 1, 12 (D.C. Cir. 2002)) (arguing that “[t]he D.C. Circuit held that [the Commission] could review a utility’s decision to exit an RTO, notwithstanding the federal law requirement that RTO membership is voluntary”).</w:t>
      </w:r>
    </w:p>
  </w:footnote>
  <w:footnote w:id="26">
    <w:p w14:paraId="620452FA" w14:textId="77777777" w:rsidR="00AD7F3F" w:rsidRPr="008E13E3" w:rsidRDefault="00EA367D" w:rsidP="00AD7F3F">
      <w:pPr>
        <w:pStyle w:val="FootnoteText"/>
      </w:pPr>
      <w:r w:rsidRPr="008E13E3">
        <w:rPr>
          <w:rStyle w:val="FootnoteReference"/>
        </w:rPr>
        <w:footnoteRef/>
      </w:r>
      <w:r w:rsidRPr="008E13E3">
        <w:t xml:space="preserve"> </w:t>
      </w:r>
      <w:r w:rsidR="009728A6" w:rsidRPr="008E13E3">
        <w:rPr>
          <w:i/>
          <w:iCs/>
        </w:rPr>
        <w:t>Id.</w:t>
      </w:r>
      <w:r w:rsidR="009728A6" w:rsidRPr="008E13E3">
        <w:t xml:space="preserve"> at 16 (quoting </w:t>
      </w:r>
      <w:r w:rsidR="009728A6" w:rsidRPr="008E13E3">
        <w:rPr>
          <w:i/>
          <w:iCs/>
        </w:rPr>
        <w:t>San Diego Gas &amp; Elec. Co.</w:t>
      </w:r>
      <w:r w:rsidR="009728A6" w:rsidRPr="008E13E3">
        <w:t xml:space="preserve">, D.11-05-048, 2011 WL 2246056 </w:t>
      </w:r>
      <w:r w:rsidR="009728A6">
        <w:t xml:space="preserve">*7 </w:t>
      </w:r>
      <w:r w:rsidR="009728A6" w:rsidRPr="008E13E3">
        <w:t>(Cal. P.U.C. May 26, 2011)).</w:t>
      </w:r>
    </w:p>
  </w:footnote>
  <w:footnote w:id="27">
    <w:p w14:paraId="5AF0194F" w14:textId="77777777" w:rsidR="003473E6" w:rsidRPr="008E13E3" w:rsidRDefault="003473E6">
      <w:pPr>
        <w:pStyle w:val="FootnoteText"/>
      </w:pPr>
      <w:r w:rsidRPr="008E13E3">
        <w:rPr>
          <w:rStyle w:val="FootnoteReference"/>
        </w:rPr>
        <w:footnoteRef/>
      </w:r>
      <w:r w:rsidRPr="008E13E3">
        <w:t xml:space="preserve"> 879 F.3d 966 (9th Cir. 2018)</w:t>
      </w:r>
      <w:r w:rsidR="00A32933" w:rsidRPr="008E13E3">
        <w:t xml:space="preserve"> (</w:t>
      </w:r>
      <w:r w:rsidR="00A32933" w:rsidRPr="008E13E3">
        <w:rPr>
          <w:i/>
          <w:iCs/>
        </w:rPr>
        <w:t>CPUC I</w:t>
      </w:r>
      <w:r w:rsidR="00A32933" w:rsidRPr="008E13E3">
        <w:t>)</w:t>
      </w:r>
      <w:r w:rsidR="00600AFD" w:rsidRPr="008E13E3">
        <w:t xml:space="preserve">, </w:t>
      </w:r>
      <w:r w:rsidR="00097BDE" w:rsidRPr="008E13E3">
        <w:rPr>
          <w:i/>
          <w:iCs/>
        </w:rPr>
        <w:t>order on remand</w:t>
      </w:r>
      <w:r w:rsidR="00097BDE" w:rsidRPr="008E13E3">
        <w:t xml:space="preserve">, </w:t>
      </w:r>
      <w:r w:rsidR="00CD2CAD" w:rsidRPr="008E13E3">
        <w:rPr>
          <w:i/>
          <w:iCs/>
        </w:rPr>
        <w:t>Pac. Gas &amp; Elec. Co.</w:t>
      </w:r>
      <w:r w:rsidR="00CD2CAD" w:rsidRPr="008E13E3">
        <w:t xml:space="preserve">, </w:t>
      </w:r>
      <w:r w:rsidR="00182869" w:rsidRPr="008E13E3">
        <w:t xml:space="preserve">168 FERC </w:t>
      </w:r>
      <w:r w:rsidR="00B74AE8" w:rsidRPr="008E13E3">
        <w:t>¶ 6</w:t>
      </w:r>
      <w:r w:rsidR="00182869" w:rsidRPr="008E13E3">
        <w:t xml:space="preserve">1,038 (2019), </w:t>
      </w:r>
      <w:r w:rsidR="008D0A5D" w:rsidRPr="008E13E3">
        <w:rPr>
          <w:i/>
          <w:iCs/>
        </w:rPr>
        <w:t>order on reh’g</w:t>
      </w:r>
      <w:r w:rsidR="008D0A5D" w:rsidRPr="008E13E3">
        <w:t xml:space="preserve">, </w:t>
      </w:r>
      <w:r w:rsidR="002012B6" w:rsidRPr="008E13E3">
        <w:t xml:space="preserve">170 FERC </w:t>
      </w:r>
      <w:r w:rsidR="00B74AE8" w:rsidRPr="008E13E3">
        <w:t>¶ 6</w:t>
      </w:r>
      <w:r w:rsidR="002012B6" w:rsidRPr="008E13E3">
        <w:t xml:space="preserve">1,194 (2020), </w:t>
      </w:r>
      <w:r w:rsidR="00182869" w:rsidRPr="008E13E3">
        <w:rPr>
          <w:i/>
          <w:iCs/>
        </w:rPr>
        <w:t>aff’d</w:t>
      </w:r>
      <w:r w:rsidR="00974CF9" w:rsidRPr="008E13E3">
        <w:t xml:space="preserve">, </w:t>
      </w:r>
      <w:r w:rsidR="00974CF9" w:rsidRPr="008E13E3">
        <w:rPr>
          <w:i/>
          <w:iCs/>
        </w:rPr>
        <w:t>Cal. Pub. Util. Comm’n v. FERC</w:t>
      </w:r>
      <w:r w:rsidR="00974CF9" w:rsidRPr="008E13E3">
        <w:t xml:space="preserve">, </w:t>
      </w:r>
      <w:r w:rsidR="0041765F" w:rsidRPr="008E13E3">
        <w:t>29 F.</w:t>
      </w:r>
      <w:r w:rsidR="00312A63" w:rsidRPr="008E13E3">
        <w:t>4th</w:t>
      </w:r>
      <w:r w:rsidR="0041765F" w:rsidRPr="008E13E3">
        <w:t xml:space="preserve"> 454 (9th Cir. 2022)</w:t>
      </w:r>
      <w:r w:rsidR="00FA2E06" w:rsidRPr="008E13E3">
        <w:t xml:space="preserve"> (</w:t>
      </w:r>
      <w:r w:rsidR="00FA2E06" w:rsidRPr="008E13E3">
        <w:rPr>
          <w:i/>
          <w:iCs/>
        </w:rPr>
        <w:t>CPUC II</w:t>
      </w:r>
      <w:r w:rsidR="00FA2E06" w:rsidRPr="008E13E3">
        <w:t>)</w:t>
      </w:r>
      <w:r w:rsidR="00A207E6" w:rsidRPr="008E13E3">
        <w:t>.</w:t>
      </w:r>
    </w:p>
  </w:footnote>
  <w:footnote w:id="28">
    <w:p w14:paraId="4807D965" w14:textId="77777777" w:rsidR="00C374BE" w:rsidRPr="008E13E3" w:rsidRDefault="00C374BE">
      <w:pPr>
        <w:pStyle w:val="FootnoteText"/>
      </w:pPr>
      <w:r w:rsidRPr="008E13E3">
        <w:rPr>
          <w:rStyle w:val="FootnoteReference"/>
        </w:rPr>
        <w:footnoteRef/>
      </w:r>
      <w:r w:rsidR="00F91E20" w:rsidRPr="008E13E3">
        <w:t xml:space="preserve"> </w:t>
      </w:r>
      <w:r w:rsidR="00AE1512" w:rsidRPr="008E13E3">
        <w:t xml:space="preserve">Rehearing Request at </w:t>
      </w:r>
      <w:r w:rsidR="00B34F49" w:rsidRPr="008E13E3">
        <w:t>16</w:t>
      </w:r>
      <w:r w:rsidR="008D17EE" w:rsidRPr="008E13E3">
        <w:t xml:space="preserve"> (quoting </w:t>
      </w:r>
      <w:r w:rsidR="003473E6" w:rsidRPr="008E13E3">
        <w:rPr>
          <w:i/>
          <w:iCs/>
        </w:rPr>
        <w:t>CPUC I</w:t>
      </w:r>
      <w:r w:rsidR="00E639D3" w:rsidRPr="008E13E3">
        <w:t xml:space="preserve">, 879 F.3d </w:t>
      </w:r>
      <w:r w:rsidR="003473E6" w:rsidRPr="008E13E3">
        <w:t>at</w:t>
      </w:r>
      <w:r w:rsidR="00E639D3" w:rsidRPr="008E13E3">
        <w:t xml:space="preserve"> 979</w:t>
      </w:r>
      <w:r w:rsidR="003473E6" w:rsidRPr="008E13E3">
        <w:t xml:space="preserve">). </w:t>
      </w:r>
      <w:r w:rsidR="00E639D3" w:rsidRPr="008E13E3">
        <w:t xml:space="preserve"> </w:t>
      </w:r>
    </w:p>
  </w:footnote>
  <w:footnote w:id="29">
    <w:p w14:paraId="702BCE88" w14:textId="77777777" w:rsidR="00E33B57" w:rsidRPr="008E13E3" w:rsidRDefault="00E33B57">
      <w:pPr>
        <w:pStyle w:val="FootnoteText"/>
      </w:pPr>
      <w:r w:rsidRPr="008E13E3">
        <w:rPr>
          <w:rStyle w:val="FootnoteReference"/>
        </w:rPr>
        <w:footnoteRef/>
      </w:r>
      <w:r w:rsidRPr="008E13E3">
        <w:t xml:space="preserve"> </w:t>
      </w:r>
      <w:r w:rsidRPr="008E13E3">
        <w:rPr>
          <w:i/>
          <w:iCs/>
        </w:rPr>
        <w:t>Id.</w:t>
      </w:r>
      <w:r w:rsidR="006856AB" w:rsidRPr="008E13E3">
        <w:t xml:space="preserve"> (quoting </w:t>
      </w:r>
      <w:r w:rsidR="006856AB" w:rsidRPr="008E13E3">
        <w:rPr>
          <w:i/>
          <w:iCs/>
        </w:rPr>
        <w:t>CPUC I</w:t>
      </w:r>
      <w:r w:rsidR="006856AB" w:rsidRPr="008E13E3">
        <w:t xml:space="preserve">, 879 F.3d at 979). </w:t>
      </w:r>
    </w:p>
  </w:footnote>
  <w:footnote w:id="30">
    <w:p w14:paraId="5B9F2540" w14:textId="77777777" w:rsidR="006D2C65" w:rsidRPr="008E13E3" w:rsidRDefault="006D2C65">
      <w:pPr>
        <w:pStyle w:val="FootnoteText"/>
      </w:pPr>
      <w:r w:rsidRPr="008E13E3">
        <w:rPr>
          <w:rStyle w:val="FootnoteReference"/>
        </w:rPr>
        <w:footnoteRef/>
      </w:r>
      <w:r w:rsidRPr="008E13E3">
        <w:t xml:space="preserve"> </w:t>
      </w:r>
      <w:r w:rsidRPr="008E13E3">
        <w:rPr>
          <w:i/>
          <w:iCs/>
        </w:rPr>
        <w:t>Id.</w:t>
      </w:r>
      <w:r w:rsidRPr="008E13E3">
        <w:t xml:space="preserve"> at 16-17.</w:t>
      </w:r>
    </w:p>
  </w:footnote>
  <w:footnote w:id="31">
    <w:p w14:paraId="0364ED2F" w14:textId="77777777" w:rsidR="00DA0A3C" w:rsidRPr="008E13E3" w:rsidRDefault="00DA0A3C">
      <w:pPr>
        <w:pStyle w:val="FootnoteText"/>
      </w:pPr>
      <w:r w:rsidRPr="008E13E3">
        <w:rPr>
          <w:rStyle w:val="FootnoteReference"/>
        </w:rPr>
        <w:footnoteRef/>
      </w:r>
      <w:r w:rsidRPr="008E13E3">
        <w:t xml:space="preserve"> </w:t>
      </w:r>
      <w:r w:rsidRPr="008E13E3">
        <w:rPr>
          <w:i/>
          <w:iCs/>
        </w:rPr>
        <w:t>Id.</w:t>
      </w:r>
      <w:r w:rsidRPr="008E13E3">
        <w:t xml:space="preserve"> at 17.</w:t>
      </w:r>
    </w:p>
  </w:footnote>
  <w:footnote w:id="32">
    <w:p w14:paraId="51EBCAE3" w14:textId="77777777" w:rsidR="004301D8" w:rsidRPr="008E13E3" w:rsidRDefault="004301D8">
      <w:pPr>
        <w:pStyle w:val="FootnoteText"/>
      </w:pPr>
      <w:r w:rsidRPr="008E13E3">
        <w:rPr>
          <w:rStyle w:val="FootnoteReference"/>
        </w:rPr>
        <w:footnoteRef/>
      </w:r>
      <w:r w:rsidRPr="008E13E3">
        <w:t xml:space="preserve"> </w:t>
      </w:r>
      <w:r w:rsidR="0098566B" w:rsidRPr="00CE1632">
        <w:rPr>
          <w:i/>
          <w:iCs/>
        </w:rPr>
        <w:t xml:space="preserve">Cal. </w:t>
      </w:r>
      <w:r w:rsidR="0098566B" w:rsidRPr="001221AE">
        <w:rPr>
          <w:i/>
          <w:iCs/>
        </w:rPr>
        <w:t>Pub. Utils. Comm’n</w:t>
      </w:r>
      <w:r w:rsidR="0098566B" w:rsidRPr="008E13E3">
        <w:t>, 78 CPUC 2d 307 (1998) (Transfer Order).</w:t>
      </w:r>
    </w:p>
  </w:footnote>
  <w:footnote w:id="33">
    <w:p w14:paraId="5DD343C0" w14:textId="77777777" w:rsidR="00876667" w:rsidRPr="008E13E3" w:rsidRDefault="00876667">
      <w:pPr>
        <w:pStyle w:val="FootnoteText"/>
      </w:pPr>
      <w:r w:rsidRPr="008E13E3">
        <w:rPr>
          <w:rStyle w:val="FootnoteReference"/>
        </w:rPr>
        <w:footnoteRef/>
      </w:r>
      <w:r w:rsidRPr="008E13E3">
        <w:t xml:space="preserve"> Cal. Pub. Util. Code </w:t>
      </w:r>
      <w:r w:rsidR="00B74AE8" w:rsidRPr="008E13E3">
        <w:t>§ 3</w:t>
      </w:r>
      <w:r w:rsidRPr="008E13E3">
        <w:t xml:space="preserve">62(c). </w:t>
      </w:r>
    </w:p>
  </w:footnote>
  <w:footnote w:id="34">
    <w:p w14:paraId="0CDAFC10" w14:textId="77777777" w:rsidR="00C125F8" w:rsidRPr="008E13E3" w:rsidRDefault="00C125F8">
      <w:pPr>
        <w:pStyle w:val="FootnoteText"/>
      </w:pPr>
      <w:r w:rsidRPr="008E13E3">
        <w:rPr>
          <w:rStyle w:val="FootnoteReference"/>
        </w:rPr>
        <w:footnoteRef/>
      </w:r>
      <w:r w:rsidRPr="008E13E3">
        <w:t xml:space="preserve"> </w:t>
      </w:r>
      <w:r w:rsidRPr="008E13E3">
        <w:rPr>
          <w:i/>
          <w:iCs/>
        </w:rPr>
        <w:t>Id.</w:t>
      </w:r>
      <w:r w:rsidRPr="008E13E3">
        <w:t xml:space="preserve"> </w:t>
      </w:r>
      <w:r w:rsidR="00B74AE8" w:rsidRPr="008E13E3">
        <w:t>§ 8</w:t>
      </w:r>
      <w:r w:rsidRPr="008E13E3">
        <w:t xml:space="preserve">51(a). </w:t>
      </w:r>
    </w:p>
  </w:footnote>
  <w:footnote w:id="35">
    <w:p w14:paraId="4804A716" w14:textId="77777777" w:rsidR="00535912" w:rsidRPr="008E13E3" w:rsidRDefault="00535912">
      <w:pPr>
        <w:pStyle w:val="FootnoteText"/>
      </w:pPr>
      <w:r w:rsidRPr="008E13E3">
        <w:rPr>
          <w:rStyle w:val="FootnoteReference"/>
        </w:rPr>
        <w:footnoteRef/>
      </w:r>
      <w:r w:rsidRPr="008E13E3">
        <w:t xml:space="preserve"> Rehearing Request at 18. </w:t>
      </w:r>
    </w:p>
  </w:footnote>
  <w:footnote w:id="36">
    <w:p w14:paraId="758AD673" w14:textId="77777777" w:rsidR="00067071" w:rsidRPr="008E13E3" w:rsidRDefault="00067071" w:rsidP="00067071">
      <w:pPr>
        <w:pStyle w:val="FootnoteText"/>
      </w:pPr>
      <w:r w:rsidRPr="008E13E3">
        <w:rPr>
          <w:rStyle w:val="FootnoteReference"/>
        </w:rPr>
        <w:footnoteRef/>
      </w:r>
      <w:r w:rsidRPr="008E13E3">
        <w:t xml:space="preserve"> </w:t>
      </w:r>
      <w:r w:rsidR="0029748B" w:rsidRPr="008E13E3">
        <w:rPr>
          <w:i/>
          <w:iCs/>
        </w:rPr>
        <w:t>Id.</w:t>
      </w:r>
      <w:r w:rsidRPr="008E13E3">
        <w:t xml:space="preserve"> (citing Cal. Pub. Util. Code </w:t>
      </w:r>
      <w:r w:rsidR="00B74AE8" w:rsidRPr="008E13E3">
        <w:t>§ 3</w:t>
      </w:r>
      <w:r w:rsidRPr="008E13E3">
        <w:t>62(c) (emphasis added)).</w:t>
      </w:r>
    </w:p>
  </w:footnote>
  <w:footnote w:id="37">
    <w:p w14:paraId="6A51E359" w14:textId="77777777" w:rsidR="00067071" w:rsidRPr="008E13E3" w:rsidRDefault="00067071" w:rsidP="00067071">
      <w:pPr>
        <w:pStyle w:val="FootnoteText"/>
      </w:pPr>
      <w:r w:rsidRPr="008E13E3">
        <w:rPr>
          <w:rStyle w:val="FootnoteReference"/>
        </w:rPr>
        <w:footnoteRef/>
      </w:r>
      <w:r w:rsidRPr="008E13E3">
        <w:t xml:space="preserve"> </w:t>
      </w:r>
      <w:r w:rsidRPr="008E13E3">
        <w:rPr>
          <w:i/>
          <w:iCs/>
        </w:rPr>
        <w:t>Id</w:t>
      </w:r>
      <w:r w:rsidRPr="008E13E3">
        <w:t>. (</w:t>
      </w:r>
      <w:r w:rsidR="00E25E82" w:rsidRPr="008E13E3">
        <w:t>quoting</w:t>
      </w:r>
      <w:r w:rsidRPr="008E13E3">
        <w:t xml:space="preserve"> Transfer Order).</w:t>
      </w:r>
    </w:p>
  </w:footnote>
  <w:footnote w:id="38">
    <w:p w14:paraId="628BCAFC" w14:textId="77777777" w:rsidR="00067071" w:rsidRPr="008E13E3" w:rsidRDefault="00067071" w:rsidP="00067071">
      <w:pPr>
        <w:pStyle w:val="FootnoteText"/>
      </w:pPr>
      <w:r w:rsidRPr="008E13E3">
        <w:rPr>
          <w:rStyle w:val="FootnoteReference"/>
        </w:rPr>
        <w:footnoteRef/>
      </w:r>
      <w:r w:rsidRPr="008E13E3">
        <w:t xml:space="preserve"> </w:t>
      </w:r>
      <w:r w:rsidRPr="008E13E3">
        <w:rPr>
          <w:i/>
          <w:iCs/>
        </w:rPr>
        <w:t>Id</w:t>
      </w:r>
      <w:r w:rsidRPr="008E13E3">
        <w:t>.</w:t>
      </w:r>
      <w:r w:rsidR="00D35B84" w:rsidRPr="008E13E3">
        <w:t xml:space="preserve"> at 18-19.</w:t>
      </w:r>
    </w:p>
  </w:footnote>
  <w:footnote w:id="39">
    <w:p w14:paraId="27F716D7" w14:textId="77777777" w:rsidR="00DE3D31" w:rsidRPr="008E13E3" w:rsidRDefault="00DE3D31" w:rsidP="00DE3D31">
      <w:pPr>
        <w:pStyle w:val="FootnoteText"/>
      </w:pPr>
      <w:r w:rsidRPr="008E13E3">
        <w:rPr>
          <w:rStyle w:val="FootnoteReference"/>
        </w:rPr>
        <w:footnoteRef/>
      </w:r>
      <w:r w:rsidRPr="008E13E3">
        <w:t xml:space="preserve"> </w:t>
      </w:r>
      <w:r w:rsidRPr="008E13E3">
        <w:rPr>
          <w:i/>
          <w:iCs/>
        </w:rPr>
        <w:t>Id</w:t>
      </w:r>
      <w:r w:rsidRPr="008E13E3">
        <w:t xml:space="preserve">. at </w:t>
      </w:r>
      <w:r w:rsidR="00C6629A" w:rsidRPr="008E13E3">
        <w:t>20</w:t>
      </w:r>
      <w:r w:rsidRPr="008E13E3">
        <w:t xml:space="preserve"> (</w:t>
      </w:r>
      <w:r w:rsidR="00501B80" w:rsidRPr="008E13E3">
        <w:t xml:space="preserve">quoting </w:t>
      </w:r>
      <w:r w:rsidRPr="008E13E3">
        <w:t xml:space="preserve">Cal. Pub. Util. Code </w:t>
      </w:r>
      <w:r w:rsidR="00B74AE8" w:rsidRPr="008E13E3">
        <w:t>§ 3</w:t>
      </w:r>
      <w:r w:rsidRPr="008E13E3">
        <w:t>62(d)).</w:t>
      </w:r>
    </w:p>
  </w:footnote>
  <w:footnote w:id="40">
    <w:p w14:paraId="4D340228" w14:textId="77777777" w:rsidR="00DE3D31" w:rsidRPr="008E13E3" w:rsidRDefault="00DE3D31" w:rsidP="00DE3D31">
      <w:pPr>
        <w:pStyle w:val="FootnoteText"/>
      </w:pPr>
      <w:r w:rsidRPr="008E13E3">
        <w:rPr>
          <w:rStyle w:val="FootnoteReference"/>
        </w:rPr>
        <w:footnoteRef/>
      </w:r>
      <w:r w:rsidRPr="008E13E3">
        <w:t xml:space="preserve"> </w:t>
      </w:r>
      <w:r w:rsidRPr="008E13E3">
        <w:rPr>
          <w:i/>
          <w:iCs/>
        </w:rPr>
        <w:t>Id</w:t>
      </w:r>
      <w:r w:rsidRPr="008E13E3">
        <w:t xml:space="preserve">. at </w:t>
      </w:r>
      <w:r w:rsidR="00E63A08" w:rsidRPr="008E13E3">
        <w:t>20-21</w:t>
      </w:r>
      <w:r w:rsidRPr="008E13E3">
        <w:t>.</w:t>
      </w:r>
    </w:p>
  </w:footnote>
  <w:footnote w:id="41">
    <w:p w14:paraId="5F43A061" w14:textId="77777777" w:rsidR="00DE3D31" w:rsidRPr="008E13E3" w:rsidRDefault="00DE3D31" w:rsidP="00DE3D31">
      <w:pPr>
        <w:pStyle w:val="FootnoteText"/>
      </w:pPr>
      <w:r w:rsidRPr="008E13E3">
        <w:rPr>
          <w:rStyle w:val="FootnoteReference"/>
        </w:rPr>
        <w:footnoteRef/>
      </w:r>
      <w:r w:rsidRPr="008E13E3">
        <w:t xml:space="preserve"> </w:t>
      </w:r>
      <w:r w:rsidRPr="008E13E3">
        <w:rPr>
          <w:i/>
          <w:iCs/>
        </w:rPr>
        <w:t>Id</w:t>
      </w:r>
      <w:r w:rsidRPr="008E13E3">
        <w:t>.</w:t>
      </w:r>
      <w:r w:rsidR="000D63D5" w:rsidRPr="008E13E3">
        <w:t xml:space="preserve"> at 21-22.</w:t>
      </w:r>
    </w:p>
  </w:footnote>
  <w:footnote w:id="42">
    <w:p w14:paraId="406CA000" w14:textId="77777777" w:rsidR="0083336D" w:rsidRPr="008E13E3" w:rsidRDefault="0083336D">
      <w:pPr>
        <w:pStyle w:val="FootnoteText"/>
      </w:pPr>
      <w:r w:rsidRPr="008E13E3">
        <w:rPr>
          <w:rStyle w:val="FootnoteReference"/>
        </w:rPr>
        <w:footnoteRef/>
      </w:r>
      <w:r w:rsidRPr="008E13E3">
        <w:t xml:space="preserve"> </w:t>
      </w:r>
      <w:r w:rsidRPr="008E13E3">
        <w:rPr>
          <w:i/>
          <w:iCs/>
        </w:rPr>
        <w:t>Id.</w:t>
      </w:r>
      <w:r w:rsidRPr="008E13E3">
        <w:t xml:space="preserve"> at </w:t>
      </w:r>
      <w:r w:rsidR="0082353E" w:rsidRPr="008E13E3">
        <w:t>22</w:t>
      </w:r>
      <w:r w:rsidRPr="008E13E3">
        <w:t xml:space="preserve"> (citing </w:t>
      </w:r>
      <w:r w:rsidRPr="008E13E3">
        <w:rPr>
          <w:i/>
          <w:iCs/>
        </w:rPr>
        <w:t>Yeager v. Blue Cross of Cal.</w:t>
      </w:r>
      <w:r w:rsidRPr="008E13E3">
        <w:t>, 175 Cal.</w:t>
      </w:r>
      <w:r w:rsidR="00F74355" w:rsidRPr="008E13E3">
        <w:t xml:space="preserve"> </w:t>
      </w:r>
      <w:r w:rsidRPr="008E13E3">
        <w:t>App.</w:t>
      </w:r>
      <w:r w:rsidR="00F74355" w:rsidRPr="008E13E3">
        <w:t xml:space="preserve"> </w:t>
      </w:r>
      <w:r w:rsidRPr="008E13E3">
        <w:t xml:space="preserve">4th 1098, 1103 (2009)). </w:t>
      </w:r>
    </w:p>
  </w:footnote>
  <w:footnote w:id="43">
    <w:p w14:paraId="2242F605" w14:textId="77777777" w:rsidR="0082353E" w:rsidRPr="008E13E3" w:rsidRDefault="0082353E">
      <w:pPr>
        <w:pStyle w:val="FootnoteText"/>
      </w:pPr>
      <w:r w:rsidRPr="008E13E3">
        <w:rPr>
          <w:rStyle w:val="FootnoteReference"/>
        </w:rPr>
        <w:footnoteRef/>
      </w:r>
      <w:r w:rsidRPr="008E13E3">
        <w:t xml:space="preserve"> </w:t>
      </w:r>
      <w:r w:rsidRPr="008E13E3">
        <w:rPr>
          <w:i/>
          <w:iCs/>
        </w:rPr>
        <w:t>Id.</w:t>
      </w:r>
      <w:r w:rsidRPr="008E13E3">
        <w:t xml:space="preserve"> (</w:t>
      </w:r>
      <w:r w:rsidR="00C97E8B" w:rsidRPr="008E13E3">
        <w:t xml:space="preserve">quoting AB 209, </w:t>
      </w:r>
      <w:r w:rsidR="00B74AE8" w:rsidRPr="008E13E3">
        <w:t>§ 1</w:t>
      </w:r>
      <w:r w:rsidR="00871D02" w:rsidRPr="008E13E3">
        <w:t xml:space="preserve">(a)(1)). </w:t>
      </w:r>
    </w:p>
  </w:footnote>
  <w:footnote w:id="44">
    <w:p w14:paraId="7DE4E55F" w14:textId="77777777" w:rsidR="00604A7A" w:rsidRPr="008E13E3" w:rsidRDefault="00604A7A">
      <w:pPr>
        <w:pStyle w:val="FootnoteText"/>
      </w:pPr>
      <w:r w:rsidRPr="008E13E3">
        <w:rPr>
          <w:rStyle w:val="FootnoteReference"/>
        </w:rPr>
        <w:footnoteRef/>
      </w:r>
      <w:r w:rsidRPr="008E13E3">
        <w:t xml:space="preserve"> </w:t>
      </w:r>
      <w:r w:rsidR="00F433E6" w:rsidRPr="008E13E3">
        <w:rPr>
          <w:i/>
          <w:iCs/>
        </w:rPr>
        <w:t>Id.</w:t>
      </w:r>
      <w:r w:rsidR="00F433E6" w:rsidRPr="008E13E3">
        <w:t xml:space="preserve"> at 22-23 (quoting AB 209, </w:t>
      </w:r>
      <w:r w:rsidR="00B74AE8" w:rsidRPr="008E13E3">
        <w:t>§ 1</w:t>
      </w:r>
      <w:r w:rsidR="00F433E6" w:rsidRPr="008E13E3">
        <w:t xml:space="preserve">(a)(2)). </w:t>
      </w:r>
    </w:p>
  </w:footnote>
  <w:footnote w:id="45">
    <w:p w14:paraId="51405942" w14:textId="77777777" w:rsidR="00B23D6E" w:rsidRPr="008E13E3" w:rsidRDefault="00B23D6E">
      <w:pPr>
        <w:pStyle w:val="FootnoteText"/>
      </w:pPr>
      <w:r w:rsidRPr="008E13E3">
        <w:rPr>
          <w:rStyle w:val="FootnoteReference"/>
        </w:rPr>
        <w:footnoteRef/>
      </w:r>
      <w:r w:rsidRPr="008E13E3">
        <w:t xml:space="preserve"> </w:t>
      </w:r>
      <w:r w:rsidRPr="008E13E3">
        <w:rPr>
          <w:i/>
          <w:iCs/>
        </w:rPr>
        <w:t>Id.</w:t>
      </w:r>
      <w:r w:rsidRPr="008E13E3">
        <w:t xml:space="preserve"> at 23 (quoting AB 209, </w:t>
      </w:r>
      <w:r w:rsidR="00B74AE8" w:rsidRPr="008E13E3">
        <w:t>§ 1</w:t>
      </w:r>
      <w:r w:rsidR="00DD613F" w:rsidRPr="008E13E3">
        <w:t xml:space="preserve">(b)(2)). </w:t>
      </w:r>
    </w:p>
  </w:footnote>
  <w:footnote w:id="46">
    <w:p w14:paraId="2CAD1A9C" w14:textId="77777777" w:rsidR="00203409" w:rsidRPr="008E13E3" w:rsidRDefault="00203409">
      <w:pPr>
        <w:pStyle w:val="FootnoteText"/>
      </w:pPr>
      <w:r w:rsidRPr="008E13E3">
        <w:rPr>
          <w:rStyle w:val="FootnoteReference"/>
        </w:rPr>
        <w:footnoteRef/>
      </w:r>
      <w:r w:rsidRPr="008E13E3">
        <w:t xml:space="preserve"> </w:t>
      </w:r>
      <w:r w:rsidRPr="008E13E3">
        <w:rPr>
          <w:i/>
          <w:iCs/>
        </w:rPr>
        <w:t>Id.</w:t>
      </w:r>
      <w:r w:rsidRPr="008E13E3">
        <w:t xml:space="preserve"> (quoting AB 209, </w:t>
      </w:r>
      <w:r w:rsidR="00B74AE8" w:rsidRPr="008E13E3">
        <w:t>§ 1</w:t>
      </w:r>
      <w:r w:rsidRPr="008E13E3">
        <w:t xml:space="preserve">(b)(1)). </w:t>
      </w:r>
    </w:p>
  </w:footnote>
  <w:footnote w:id="47">
    <w:p w14:paraId="07E2A027" w14:textId="77777777" w:rsidR="0083127B" w:rsidRPr="008E13E3" w:rsidRDefault="0083127B">
      <w:pPr>
        <w:pStyle w:val="FootnoteText"/>
      </w:pPr>
      <w:r w:rsidRPr="008E13E3">
        <w:rPr>
          <w:rStyle w:val="FootnoteReference"/>
        </w:rPr>
        <w:footnoteRef/>
      </w:r>
      <w:r w:rsidRPr="008E13E3">
        <w:t xml:space="preserve"> </w:t>
      </w:r>
      <w:r w:rsidRPr="008E13E3">
        <w:rPr>
          <w:i/>
          <w:iCs/>
        </w:rPr>
        <w:t>Id.</w:t>
      </w:r>
      <w:r w:rsidRPr="008E13E3">
        <w:t xml:space="preserve"> at 23-24.</w:t>
      </w:r>
    </w:p>
  </w:footnote>
  <w:footnote w:id="48">
    <w:p w14:paraId="1C26A49A" w14:textId="77777777" w:rsidR="00137500" w:rsidRPr="008E13E3" w:rsidRDefault="00137500">
      <w:pPr>
        <w:pStyle w:val="FootnoteText"/>
      </w:pPr>
      <w:r w:rsidRPr="008E13E3">
        <w:rPr>
          <w:rStyle w:val="FootnoteReference"/>
        </w:rPr>
        <w:footnoteRef/>
      </w:r>
      <w:r w:rsidRPr="008E13E3">
        <w:t xml:space="preserve"> </w:t>
      </w:r>
      <w:r w:rsidRPr="008E13E3">
        <w:rPr>
          <w:i/>
          <w:iCs/>
        </w:rPr>
        <w:t>Id.</w:t>
      </w:r>
      <w:r w:rsidRPr="008E13E3">
        <w:t xml:space="preserve"> at 24 (citing</w:t>
      </w:r>
      <w:r w:rsidR="00785E33" w:rsidRPr="008E13E3">
        <w:t xml:space="preserve"> Joint Opening Brief of Petitioners at 38, 41, 58, </w:t>
      </w:r>
      <w:r w:rsidR="00F702C2" w:rsidRPr="008E13E3">
        <w:rPr>
          <w:i/>
          <w:iCs/>
        </w:rPr>
        <w:t>Cal. Pub. Utils. Comm’n v.</w:t>
      </w:r>
      <w:r w:rsidR="00785E33" w:rsidRPr="008E13E3">
        <w:rPr>
          <w:i/>
          <w:iCs/>
        </w:rPr>
        <w:t xml:space="preserve"> FERC</w:t>
      </w:r>
      <w:r w:rsidR="00785E33" w:rsidRPr="008E13E3">
        <w:t>, Nos. 19-7</w:t>
      </w:r>
      <w:r w:rsidR="00BA3697" w:rsidRPr="008E13E3">
        <w:t>2897, 20-71335, 2020 WL 4928380 (</w:t>
      </w:r>
      <w:r w:rsidR="001C11A0" w:rsidRPr="008E13E3">
        <w:t xml:space="preserve">9th Cir. Aug. 13, 2020)). </w:t>
      </w:r>
    </w:p>
  </w:footnote>
  <w:footnote w:id="49">
    <w:p w14:paraId="118576C6" w14:textId="77777777" w:rsidR="00485728" w:rsidRPr="008E13E3" w:rsidRDefault="00485728">
      <w:pPr>
        <w:pStyle w:val="FootnoteText"/>
      </w:pPr>
      <w:r w:rsidRPr="008E13E3">
        <w:rPr>
          <w:rStyle w:val="FootnoteReference"/>
        </w:rPr>
        <w:footnoteRef/>
      </w:r>
      <w:r w:rsidRPr="008E13E3">
        <w:t xml:space="preserve"> </w:t>
      </w:r>
      <w:r w:rsidRPr="008E13E3">
        <w:rPr>
          <w:i/>
          <w:iCs/>
        </w:rPr>
        <w:t>Id.</w:t>
      </w:r>
      <w:r w:rsidRPr="008E13E3">
        <w:t xml:space="preserve"> at 24. </w:t>
      </w:r>
    </w:p>
  </w:footnote>
  <w:footnote w:id="50">
    <w:p w14:paraId="482A40B4" w14:textId="77777777" w:rsidR="00D6557C" w:rsidRPr="008E13E3" w:rsidRDefault="00D6557C">
      <w:pPr>
        <w:pStyle w:val="FootnoteText"/>
      </w:pPr>
      <w:r w:rsidRPr="008E13E3">
        <w:rPr>
          <w:rStyle w:val="FootnoteReference"/>
        </w:rPr>
        <w:footnoteRef/>
      </w:r>
      <w:r w:rsidRPr="008E13E3">
        <w:t xml:space="preserve"> </w:t>
      </w:r>
      <w:r w:rsidRPr="008E13E3">
        <w:rPr>
          <w:i/>
          <w:iCs/>
        </w:rPr>
        <w:t>Id.</w:t>
      </w:r>
      <w:r w:rsidRPr="008E13E3">
        <w:t xml:space="preserve"> at 25 </w:t>
      </w:r>
      <w:r w:rsidR="00DA3787" w:rsidRPr="008E13E3">
        <w:t xml:space="preserve">(citing CPUC Protest at </w:t>
      </w:r>
      <w:r w:rsidR="00226F70" w:rsidRPr="008E13E3">
        <w:t>6 (stating that SDG&amp;E is “prevented from withdrawing from CAISO without approval from the [CPUC]”)</w:t>
      </w:r>
      <w:r w:rsidR="005F017F" w:rsidRPr="008E13E3">
        <w:t xml:space="preserve">; </w:t>
      </w:r>
      <w:r w:rsidR="00F62A84" w:rsidRPr="008E13E3">
        <w:t xml:space="preserve">Six Cities Protest at 4 (stating that SDG&amp;E “cannot unilaterally withdraw from CAISO)). </w:t>
      </w:r>
    </w:p>
  </w:footnote>
  <w:footnote w:id="51">
    <w:p w14:paraId="18010AC4" w14:textId="77777777" w:rsidR="008229F8" w:rsidRPr="008E13E3" w:rsidRDefault="008229F8" w:rsidP="008229F8">
      <w:pPr>
        <w:pStyle w:val="FootnoteText"/>
      </w:pPr>
      <w:r w:rsidRPr="008E13E3">
        <w:rPr>
          <w:rStyle w:val="FootnoteReference"/>
        </w:rPr>
        <w:footnoteRef/>
      </w:r>
      <w:r w:rsidRPr="008E13E3">
        <w:t xml:space="preserve"> Cal. Pub. Util. Code </w:t>
      </w:r>
      <w:r w:rsidR="00B74AE8" w:rsidRPr="008E13E3">
        <w:t>§ 3</w:t>
      </w:r>
      <w:r w:rsidRPr="008E13E3">
        <w:t xml:space="preserve">62(c). </w:t>
      </w:r>
    </w:p>
  </w:footnote>
  <w:footnote w:id="52">
    <w:p w14:paraId="7B06BEB7" w14:textId="77777777" w:rsidR="008229F8" w:rsidRPr="008E13E3" w:rsidRDefault="008229F8" w:rsidP="008229F8">
      <w:pPr>
        <w:pStyle w:val="FootnoteText"/>
      </w:pPr>
      <w:r w:rsidRPr="008E13E3">
        <w:rPr>
          <w:rStyle w:val="FootnoteReference"/>
        </w:rPr>
        <w:footnoteRef/>
      </w:r>
      <w:r w:rsidRPr="008E13E3">
        <w:t xml:space="preserve"> </w:t>
      </w:r>
      <w:r w:rsidRPr="008E13E3">
        <w:rPr>
          <w:i/>
          <w:iCs/>
        </w:rPr>
        <w:t>See</w:t>
      </w:r>
      <w:r w:rsidRPr="008E13E3">
        <w:t xml:space="preserve"> </w:t>
      </w:r>
      <w:r w:rsidRPr="008E13E3">
        <w:rPr>
          <w:i/>
          <w:iCs/>
        </w:rPr>
        <w:t>Stone v. Alameda Health Sys.</w:t>
      </w:r>
      <w:r w:rsidRPr="008E13E3">
        <w:t xml:space="preserve">, 553 P.3d 783, 791 (Cal. 2024) (“If the language [of a statute] is clear, its plain meaning controls.”) (internal citation omitted); </w:t>
      </w:r>
      <w:r w:rsidRPr="008E13E3">
        <w:rPr>
          <w:i/>
          <w:iCs/>
        </w:rPr>
        <w:t>see also</w:t>
      </w:r>
      <w:r w:rsidRPr="008E13E3">
        <w:t xml:space="preserve"> </w:t>
      </w:r>
      <w:r w:rsidRPr="008E13E3">
        <w:rPr>
          <w:i/>
          <w:iCs/>
        </w:rPr>
        <w:t>Consumer Prod. Safety Comm’n v. GTE Sylvania, Inc.</w:t>
      </w:r>
      <w:r w:rsidRPr="008E13E3">
        <w:t>, 447 U.S. 102, 108 (1980) (“[T]he starting point for interpreting a statute is the language of the statute itself.  Absent a clearly expressed legislative intention to the contrary, that language must ordinarily be regarded as conclusive.”).  The use of the present tense “participate” implies an ongoing relationship.</w:t>
      </w:r>
      <w:r w:rsidRPr="008E13E3">
        <w:rPr>
          <w:b/>
          <w:vertAlign w:val="superscript"/>
        </w:rPr>
        <w:t xml:space="preserve"> </w:t>
      </w:r>
      <w:r w:rsidRPr="008E13E3">
        <w:t xml:space="preserve"> </w:t>
      </w:r>
      <w:r w:rsidRPr="008E13E3">
        <w:rPr>
          <w:i/>
          <w:iCs/>
        </w:rPr>
        <w:t>See</w:t>
      </w:r>
      <w:r w:rsidRPr="008E13E3">
        <w:t xml:space="preserve"> </w:t>
      </w:r>
      <w:r w:rsidRPr="008E13E3">
        <w:rPr>
          <w:i/>
          <w:iCs/>
        </w:rPr>
        <w:t>U.S. v. Thomas</w:t>
      </w:r>
      <w:r w:rsidRPr="008E13E3">
        <w:t xml:space="preserve">, 973 F.2d 1152, 1157 (5th Cir. 1992) (present tense implies ongoing activity); </w:t>
      </w:r>
      <w:r w:rsidRPr="008E13E3">
        <w:rPr>
          <w:i/>
          <w:iCs/>
        </w:rPr>
        <w:t>see also Gwaltney of Smithfield, Ltd. v. Chesapeake Bay Found., Inc.</w:t>
      </w:r>
      <w:r w:rsidRPr="008E13E3">
        <w:t>, 484 U.S. 49, 59 (1987) (use of present tense is “[o]</w:t>
      </w:r>
      <w:proofErr w:type="spellStart"/>
      <w:r w:rsidRPr="008E13E3">
        <w:t>ne</w:t>
      </w:r>
      <w:proofErr w:type="spellEnd"/>
      <w:r w:rsidRPr="008E13E3">
        <w:t xml:space="preserve"> of the most striking indicia of . . . prospective orientation”).  Black’s Law Dictionary lists the first definition of “shall” as “[h]as a duty to; more broadly, is required to,” noting that “[t]his is the mandatory sense [of shall] that drafters typically intend and that courts typically uphold.”  Black’s Law Dictionary (12th ed. 2024).</w:t>
      </w:r>
    </w:p>
  </w:footnote>
  <w:footnote w:id="53">
    <w:p w14:paraId="4CCF778D" w14:textId="77777777" w:rsidR="008229F8" w:rsidRPr="008E13E3" w:rsidRDefault="008229F8" w:rsidP="008229F8">
      <w:pPr>
        <w:pStyle w:val="FootnoteText"/>
      </w:pPr>
      <w:r w:rsidRPr="008E13E3">
        <w:rPr>
          <w:rStyle w:val="FootnoteReference"/>
        </w:rPr>
        <w:footnoteRef/>
      </w:r>
      <w:r w:rsidRPr="008E13E3">
        <w:t xml:space="preserve"> </w:t>
      </w:r>
      <w:r w:rsidRPr="008E13E3">
        <w:rPr>
          <w:i/>
          <w:iCs/>
        </w:rPr>
        <w:t>See</w:t>
      </w:r>
      <w:r w:rsidRPr="008E13E3">
        <w:rPr>
          <w:iCs/>
        </w:rPr>
        <w:t xml:space="preserve"> </w:t>
      </w:r>
      <w:r w:rsidRPr="008E13E3">
        <w:t xml:space="preserve">Rehearing Request at </w:t>
      </w:r>
      <w:r w:rsidR="008E1665" w:rsidRPr="008E13E3">
        <w:t>13</w:t>
      </w:r>
      <w:r w:rsidRPr="008E13E3">
        <w:t>.</w:t>
      </w:r>
    </w:p>
  </w:footnote>
  <w:footnote w:id="54">
    <w:p w14:paraId="4E2A4CD7" w14:textId="77777777" w:rsidR="008229F8" w:rsidRPr="008E13E3" w:rsidRDefault="008229F8" w:rsidP="008229F8">
      <w:pPr>
        <w:pStyle w:val="FootnoteText"/>
      </w:pPr>
      <w:r w:rsidRPr="008E13E3">
        <w:rPr>
          <w:rStyle w:val="FootnoteReference"/>
        </w:rPr>
        <w:footnoteRef/>
      </w:r>
      <w:r w:rsidRPr="008E13E3">
        <w:t xml:space="preserve"> PG&amp;E Adder Rehearing Order, 187 FERC </w:t>
      </w:r>
      <w:r w:rsidR="00B74AE8" w:rsidRPr="008E13E3">
        <w:t>¶ 6</w:t>
      </w:r>
      <w:r w:rsidRPr="008E13E3">
        <w:t xml:space="preserve">1,167 at </w:t>
      </w:r>
      <w:r w:rsidR="00B74AE8" w:rsidRPr="008E13E3">
        <w:t>P 3</w:t>
      </w:r>
      <w:r w:rsidRPr="008E13E3">
        <w:t>7.</w:t>
      </w:r>
      <w:r w:rsidR="008E1665" w:rsidRPr="008E13E3">
        <w:t xml:space="preserve">  </w:t>
      </w:r>
    </w:p>
  </w:footnote>
  <w:footnote w:id="55">
    <w:p w14:paraId="47D2AE2B" w14:textId="77777777" w:rsidR="008229F8" w:rsidRPr="008E13E3" w:rsidRDefault="008229F8" w:rsidP="008229F8">
      <w:pPr>
        <w:pStyle w:val="FootnoteText"/>
      </w:pPr>
      <w:r w:rsidRPr="008E13E3">
        <w:rPr>
          <w:rStyle w:val="FootnoteReference"/>
        </w:rPr>
        <w:footnoteRef/>
      </w:r>
      <w:r w:rsidRPr="008E13E3">
        <w:t xml:space="preserve"> “Consistent with Section 851 and the [CPUC]’s regulation of transfers of operational control of electrical corporation facilities, </w:t>
      </w:r>
      <w:proofErr w:type="gramStart"/>
      <w:r w:rsidRPr="008E13E3">
        <w:t>. . . .</w:t>
      </w:r>
      <w:proofErr w:type="gramEnd"/>
      <w:r w:rsidRPr="008E13E3">
        <w:t xml:space="preserve">”  Cal. Pub. Util. Code </w:t>
      </w:r>
      <w:r w:rsidR="00B74AE8" w:rsidRPr="008E13E3">
        <w:t>§ 3</w:t>
      </w:r>
      <w:r w:rsidRPr="008E13E3">
        <w:t>62(c)</w:t>
      </w:r>
      <w:r w:rsidR="001A6680" w:rsidRPr="008E13E3">
        <w:t>.</w:t>
      </w:r>
      <w:r w:rsidRPr="008E13E3">
        <w:t xml:space="preserve"> </w:t>
      </w:r>
    </w:p>
  </w:footnote>
  <w:footnote w:id="56">
    <w:p w14:paraId="78708E32" w14:textId="77777777" w:rsidR="008229F8" w:rsidRPr="008E13E3" w:rsidRDefault="008229F8" w:rsidP="008229F8">
      <w:pPr>
        <w:pStyle w:val="FootnoteText"/>
      </w:pPr>
      <w:r w:rsidRPr="008E13E3">
        <w:rPr>
          <w:rStyle w:val="FootnoteReference"/>
        </w:rPr>
        <w:footnoteRef/>
      </w:r>
      <w:r w:rsidRPr="008E13E3">
        <w:t xml:space="preserve"> Rehearing Request at </w:t>
      </w:r>
      <w:r w:rsidR="00D13746" w:rsidRPr="008E13E3">
        <w:t>17-18</w:t>
      </w:r>
      <w:r w:rsidRPr="008E13E3">
        <w:t xml:space="preserve">; Cal. Pub. Util. Code </w:t>
      </w:r>
      <w:r w:rsidR="00B74AE8" w:rsidRPr="008E13E3">
        <w:t>§ 8</w:t>
      </w:r>
      <w:r w:rsidRPr="008E13E3">
        <w:t>51.</w:t>
      </w:r>
    </w:p>
  </w:footnote>
  <w:footnote w:id="57">
    <w:p w14:paraId="110C078F" w14:textId="77777777" w:rsidR="008229F8" w:rsidRPr="008E13E3" w:rsidRDefault="008229F8" w:rsidP="008229F8">
      <w:pPr>
        <w:pStyle w:val="FootnoteText"/>
      </w:pPr>
      <w:r w:rsidRPr="008E13E3">
        <w:rPr>
          <w:rStyle w:val="FootnoteReference"/>
        </w:rPr>
        <w:footnoteRef/>
      </w:r>
      <w:r w:rsidRPr="008E13E3">
        <w:t xml:space="preserve"> Cal. Pub. Util. Code </w:t>
      </w:r>
      <w:r w:rsidR="00B74AE8" w:rsidRPr="008E13E3">
        <w:t>§ 3</w:t>
      </w:r>
      <w:r w:rsidRPr="008E13E3">
        <w:t xml:space="preserve">62(c). </w:t>
      </w:r>
    </w:p>
  </w:footnote>
  <w:footnote w:id="58">
    <w:p w14:paraId="158AA1F0" w14:textId="77777777" w:rsidR="008229F8" w:rsidRPr="008E13E3" w:rsidRDefault="008229F8" w:rsidP="008229F8">
      <w:pPr>
        <w:pStyle w:val="FootnoteText"/>
      </w:pPr>
      <w:r w:rsidRPr="008E13E3">
        <w:rPr>
          <w:rStyle w:val="FootnoteReference"/>
        </w:rPr>
        <w:footnoteRef/>
      </w:r>
      <w:r w:rsidRPr="008E13E3">
        <w:t xml:space="preserve"> </w:t>
      </w:r>
      <w:r w:rsidRPr="008E13E3">
        <w:rPr>
          <w:i/>
          <w:iCs/>
        </w:rPr>
        <w:t>See</w:t>
      </w:r>
      <w:r w:rsidRPr="008E13E3">
        <w:rPr>
          <w:iCs/>
        </w:rPr>
        <w:t xml:space="preserve"> </w:t>
      </w:r>
      <w:r w:rsidRPr="008E13E3">
        <w:t xml:space="preserve">PG&amp;E Adder Rehearing Order, 187 FERC </w:t>
      </w:r>
      <w:r w:rsidR="00B74AE8" w:rsidRPr="008E13E3">
        <w:t>¶ 6</w:t>
      </w:r>
      <w:r w:rsidRPr="008E13E3">
        <w:t xml:space="preserve">1,167 at </w:t>
      </w:r>
      <w:r w:rsidR="00B74AE8" w:rsidRPr="008E13E3">
        <w:t>P 3</w:t>
      </w:r>
      <w:r w:rsidRPr="008E13E3">
        <w:t>7.  California IOUs</w:t>
      </w:r>
      <w:r w:rsidR="007C1DA2" w:rsidRPr="008E13E3">
        <w:t>’</w:t>
      </w:r>
      <w:r w:rsidRPr="008E13E3">
        <w:t xml:space="preserve"> argument permitting California IOUs to stop their participation in CAISO would render the words “shall participate” without effect.  </w:t>
      </w:r>
      <w:r w:rsidRPr="008E13E3">
        <w:rPr>
          <w:i/>
          <w:iCs/>
        </w:rPr>
        <w:t xml:space="preserve">See Dyna-Med, Inc. v. Fair Emp. &amp; </w:t>
      </w:r>
      <w:proofErr w:type="spellStart"/>
      <w:r w:rsidR="00562FCD" w:rsidRPr="008E13E3">
        <w:rPr>
          <w:i/>
          <w:iCs/>
        </w:rPr>
        <w:t>Hous</w:t>
      </w:r>
      <w:proofErr w:type="spellEnd"/>
      <w:r w:rsidR="00562FCD" w:rsidRPr="008E13E3">
        <w:rPr>
          <w:i/>
          <w:iCs/>
        </w:rPr>
        <w:t>.</w:t>
      </w:r>
      <w:r w:rsidRPr="008E13E3">
        <w:rPr>
          <w:i/>
          <w:iCs/>
        </w:rPr>
        <w:t xml:space="preserve"> Comm’n</w:t>
      </w:r>
      <w:r w:rsidRPr="008E13E3">
        <w:t>, 743 P.2d 1323, 1327 (Cal. 1987) (“A construction making some words surplusage is to be avoided.”).</w:t>
      </w:r>
    </w:p>
  </w:footnote>
  <w:footnote w:id="59">
    <w:p w14:paraId="02733561" w14:textId="77777777" w:rsidR="008229F8" w:rsidRPr="008E13E3" w:rsidRDefault="008229F8" w:rsidP="008229F8">
      <w:pPr>
        <w:pStyle w:val="FootnoteText"/>
      </w:pPr>
      <w:r w:rsidRPr="008E13E3">
        <w:rPr>
          <w:rStyle w:val="FootnoteReference"/>
        </w:rPr>
        <w:footnoteRef/>
      </w:r>
      <w:r w:rsidRPr="008E13E3">
        <w:t xml:space="preserve"> Rehearing Request at </w:t>
      </w:r>
      <w:r w:rsidR="001B5821" w:rsidRPr="008E13E3">
        <w:t>21</w:t>
      </w:r>
      <w:r w:rsidRPr="008E13E3">
        <w:t>.  Section 362(d) provides that “[a]n electrical corporation shall not withdraw a facility from the operational control of [CAISO] without [CPUC] approval pursuant to Section 851.”</w:t>
      </w:r>
    </w:p>
  </w:footnote>
  <w:footnote w:id="60">
    <w:p w14:paraId="18D37EC4" w14:textId="77777777" w:rsidR="00B479FF" w:rsidRPr="008E13E3" w:rsidRDefault="00B479FF">
      <w:pPr>
        <w:pStyle w:val="FootnoteText"/>
      </w:pPr>
      <w:r w:rsidRPr="008E13E3">
        <w:rPr>
          <w:rStyle w:val="FootnoteReference"/>
        </w:rPr>
        <w:footnoteRef/>
      </w:r>
      <w:r w:rsidRPr="008E13E3">
        <w:t xml:space="preserve"> A transmission owner may need to withdraw a specific facility from CAISO control if, for example, modifications to the facility or its use entail a reclassification from transmission to distribution functions. </w:t>
      </w:r>
      <w:r w:rsidRPr="008E13E3">
        <w:rPr>
          <w:i/>
          <w:iCs/>
        </w:rPr>
        <w:t>See</w:t>
      </w:r>
      <w:r w:rsidRPr="008E13E3">
        <w:t xml:space="preserve"> Cal. Pub. Util. Code § 345(a) (“[CAISO] shall ensure the efficient use and reliable operation of the </w:t>
      </w:r>
      <w:r w:rsidRPr="008E13E3">
        <w:rPr>
          <w:i/>
          <w:iCs/>
        </w:rPr>
        <w:t>transmission</w:t>
      </w:r>
      <w:r w:rsidRPr="008E13E3">
        <w:t xml:space="preserve"> grid </w:t>
      </w:r>
      <w:proofErr w:type="gramStart"/>
      <w:r w:rsidRPr="008E13E3">
        <w:t>. . . .</w:t>
      </w:r>
      <w:proofErr w:type="gramEnd"/>
      <w:r w:rsidRPr="008E13E3">
        <w:t xml:space="preserve">”) (emphasis added); </w:t>
      </w:r>
      <w:r w:rsidRPr="008E13E3">
        <w:rPr>
          <w:i/>
          <w:iCs/>
        </w:rPr>
        <w:t>see also Sacramento Mun. Util. Dist. v. FERC</w:t>
      </w:r>
      <w:r w:rsidRPr="008E13E3">
        <w:t xml:space="preserve">, 474 F.3d 797, 798 (D.C. Cir. 2007) (explaining that CAISO “took over operation (but not ownership) of many </w:t>
      </w:r>
      <w:r w:rsidRPr="008E13E3">
        <w:rPr>
          <w:i/>
          <w:iCs/>
        </w:rPr>
        <w:t>transmission</w:t>
      </w:r>
      <w:r w:rsidRPr="008E13E3">
        <w:t xml:space="preserve"> facilities) (emphasis added).</w:t>
      </w:r>
    </w:p>
  </w:footnote>
  <w:footnote w:id="61">
    <w:p w14:paraId="04B2E559" w14:textId="77777777" w:rsidR="008229F8" w:rsidRPr="008E13E3" w:rsidRDefault="008229F8" w:rsidP="008229F8">
      <w:pPr>
        <w:pStyle w:val="FootnoteText"/>
      </w:pPr>
      <w:r w:rsidRPr="008E13E3">
        <w:rPr>
          <w:rStyle w:val="FootnoteReference"/>
        </w:rPr>
        <w:footnoteRef/>
      </w:r>
      <w:r w:rsidRPr="008E13E3">
        <w:t xml:space="preserve"> Rehearing Request at </w:t>
      </w:r>
      <w:r w:rsidR="001B5821" w:rsidRPr="008E13E3">
        <w:t xml:space="preserve">22 </w:t>
      </w:r>
      <w:r w:rsidRPr="008E13E3">
        <w:t xml:space="preserve">(citing </w:t>
      </w:r>
      <w:r w:rsidRPr="008E13E3">
        <w:rPr>
          <w:i/>
          <w:iCs/>
        </w:rPr>
        <w:t>Yeager.</w:t>
      </w:r>
      <w:r w:rsidRPr="008E13E3">
        <w:t xml:space="preserve">, 175 Cal. App. 4th </w:t>
      </w:r>
      <w:r w:rsidR="00BC2012" w:rsidRPr="008E13E3">
        <w:t>at</w:t>
      </w:r>
      <w:r w:rsidRPr="008E13E3">
        <w:t xml:space="preserve"> 1103 (“Legislative findings and statements of purpose in a statute’s preamble can be illuminating if a statute is ambiguous.  But a preamble is not binding in the interpretation of the statute.  Moreover, the preamble may not overturn the statute’s language.”)). </w:t>
      </w:r>
    </w:p>
  </w:footnote>
  <w:footnote w:id="62">
    <w:p w14:paraId="5E153E07" w14:textId="77777777" w:rsidR="008229F8" w:rsidRPr="008E13E3" w:rsidRDefault="008229F8" w:rsidP="008229F8">
      <w:pPr>
        <w:pStyle w:val="FootnoteText"/>
      </w:pPr>
      <w:r w:rsidRPr="008E13E3">
        <w:rPr>
          <w:rStyle w:val="FootnoteReference"/>
        </w:rPr>
        <w:footnoteRef/>
      </w:r>
      <w:r w:rsidRPr="008E13E3">
        <w:t xml:space="preserve"> </w:t>
      </w:r>
      <w:r w:rsidRPr="008E13E3">
        <w:rPr>
          <w:i/>
          <w:iCs/>
        </w:rPr>
        <w:t>Supra</w:t>
      </w:r>
      <w:r w:rsidRPr="008E13E3">
        <w:rPr>
          <w:iCs/>
        </w:rPr>
        <w:t xml:space="preserve"> </w:t>
      </w:r>
      <w:r w:rsidRPr="008E13E3">
        <w:t xml:space="preserve">P </w:t>
      </w:r>
      <w:r w:rsidR="00801794">
        <w:t>19</w:t>
      </w:r>
      <w:r w:rsidRPr="008E13E3">
        <w:t xml:space="preserve"> (quoting Cal. Pub. Util. Code </w:t>
      </w:r>
      <w:r w:rsidR="00B74AE8" w:rsidRPr="008E13E3">
        <w:t>§ 3</w:t>
      </w:r>
      <w:r w:rsidRPr="008E13E3">
        <w:t xml:space="preserve">62(c)). </w:t>
      </w:r>
    </w:p>
  </w:footnote>
  <w:footnote w:id="63">
    <w:p w14:paraId="6FF9834F" w14:textId="77777777" w:rsidR="008229F8" w:rsidRPr="008E13E3" w:rsidRDefault="008229F8" w:rsidP="008229F8">
      <w:pPr>
        <w:pStyle w:val="FootnoteText"/>
      </w:pPr>
      <w:r w:rsidRPr="008E13E3">
        <w:rPr>
          <w:rStyle w:val="FootnoteReference"/>
        </w:rPr>
        <w:footnoteRef/>
      </w:r>
      <w:r w:rsidRPr="008E13E3">
        <w:t xml:space="preserve"> </w:t>
      </w:r>
      <w:r w:rsidRPr="008E13E3">
        <w:rPr>
          <w:i/>
          <w:iCs/>
        </w:rPr>
        <w:t>See</w:t>
      </w:r>
      <w:r w:rsidRPr="008E13E3">
        <w:rPr>
          <w:iCs/>
        </w:rPr>
        <w:t xml:space="preserve"> </w:t>
      </w:r>
      <w:r w:rsidRPr="008E13E3">
        <w:t xml:space="preserve">AB 209 </w:t>
      </w:r>
      <w:r w:rsidR="00B74AE8" w:rsidRPr="008E13E3">
        <w:t>§ 1</w:t>
      </w:r>
      <w:r w:rsidRPr="008E13E3">
        <w:t xml:space="preserve">(b)(1) (“It is the intent of the Legislature . . . [t]o </w:t>
      </w:r>
      <w:proofErr w:type="gramStart"/>
      <w:r w:rsidRPr="008E13E3">
        <w:t>reaffirm</w:t>
      </w:r>
      <w:proofErr w:type="gramEnd"/>
      <w:r w:rsidRPr="008E13E3">
        <w:t xml:space="preserve"> that an electrical corporation currently participating in [CAISO] is not a voluntary participant.”); </w:t>
      </w:r>
      <w:r w:rsidRPr="008E13E3">
        <w:rPr>
          <w:i/>
          <w:iCs/>
        </w:rPr>
        <w:t>see also</w:t>
      </w:r>
      <w:r w:rsidRPr="008E13E3">
        <w:t xml:space="preserve"> PG&amp;E Adder Rehearing Order, 187 FERC </w:t>
      </w:r>
      <w:r w:rsidR="00B74AE8" w:rsidRPr="008E13E3">
        <w:t>¶ 6</w:t>
      </w:r>
      <w:r w:rsidRPr="008E13E3">
        <w:t xml:space="preserve">1,167 at </w:t>
      </w:r>
      <w:r w:rsidR="00B74AE8" w:rsidRPr="008E13E3">
        <w:t>P 4</w:t>
      </w:r>
      <w:r w:rsidRPr="008E13E3">
        <w:t>0.</w:t>
      </w:r>
    </w:p>
  </w:footnote>
  <w:footnote w:id="64">
    <w:p w14:paraId="522F55B3" w14:textId="77777777" w:rsidR="008229F8" w:rsidRPr="008E13E3" w:rsidRDefault="008229F8" w:rsidP="008229F8">
      <w:pPr>
        <w:pStyle w:val="FootnoteText"/>
      </w:pPr>
      <w:r w:rsidRPr="008E13E3">
        <w:rPr>
          <w:rStyle w:val="FootnoteReference"/>
        </w:rPr>
        <w:footnoteRef/>
      </w:r>
      <w:r w:rsidRPr="008E13E3">
        <w:t xml:space="preserve"> AB 209 </w:t>
      </w:r>
      <w:r w:rsidR="00B74AE8" w:rsidRPr="008E13E3">
        <w:t>§ 2</w:t>
      </w:r>
      <w:r w:rsidRPr="008E13E3">
        <w:t xml:space="preserve">4 (amending </w:t>
      </w:r>
      <w:r w:rsidR="00B74AE8" w:rsidRPr="008E13E3">
        <w:t>§ 3</w:t>
      </w:r>
      <w:r w:rsidRPr="008E13E3">
        <w:t xml:space="preserve">62 of the Cal. Pub. Util. Code to add </w:t>
      </w:r>
      <w:r w:rsidR="00B74AE8" w:rsidRPr="008E13E3">
        <w:t>§ 3</w:t>
      </w:r>
      <w:r w:rsidRPr="008E13E3">
        <w:t xml:space="preserve">62(c) and (d)). </w:t>
      </w:r>
    </w:p>
  </w:footnote>
  <w:footnote w:id="65">
    <w:p w14:paraId="7CF7925C" w14:textId="77777777" w:rsidR="008229F8" w:rsidRPr="008E13E3" w:rsidRDefault="008229F8" w:rsidP="008229F8">
      <w:pPr>
        <w:pStyle w:val="FootnoteText"/>
      </w:pPr>
      <w:r w:rsidRPr="008E13E3">
        <w:rPr>
          <w:rStyle w:val="FootnoteReference"/>
        </w:rPr>
        <w:footnoteRef/>
      </w:r>
      <w:r w:rsidRPr="008E13E3">
        <w:t xml:space="preserve"> </w:t>
      </w:r>
      <w:r w:rsidRPr="008E13E3">
        <w:rPr>
          <w:i/>
          <w:iCs/>
        </w:rPr>
        <w:t>See</w:t>
      </w:r>
      <w:r w:rsidRPr="008E13E3">
        <w:t xml:space="preserve"> </w:t>
      </w:r>
      <w:r w:rsidRPr="008E13E3">
        <w:rPr>
          <w:i/>
          <w:iCs/>
        </w:rPr>
        <w:t>Briggs v. Eden Council for Hope &amp; Opportunity</w:t>
      </w:r>
      <w:r w:rsidRPr="008E13E3">
        <w:t>, 969 P.2d 564, 572 (Cal. 1999) (citation omitted) (“[L]</w:t>
      </w:r>
      <w:proofErr w:type="spellStart"/>
      <w:r w:rsidRPr="008E13E3">
        <w:t>egislative</w:t>
      </w:r>
      <w:proofErr w:type="spellEnd"/>
      <w:r w:rsidRPr="008E13E3">
        <w:t xml:space="preserve"> intent is not gleaned solely from the preamble of a statute; it is gleaned from the statute as a whole, which includes the particular directives.”). </w:t>
      </w:r>
    </w:p>
  </w:footnote>
  <w:footnote w:id="66">
    <w:p w14:paraId="40B6C790" w14:textId="77777777" w:rsidR="008229F8" w:rsidRPr="008E13E3" w:rsidRDefault="008229F8" w:rsidP="008229F8">
      <w:pPr>
        <w:pStyle w:val="FootnoteText"/>
      </w:pPr>
      <w:r w:rsidRPr="008E13E3">
        <w:rPr>
          <w:rStyle w:val="FootnoteReference"/>
        </w:rPr>
        <w:footnoteRef/>
      </w:r>
      <w:r w:rsidRPr="008E13E3">
        <w:t xml:space="preserve"> AB 209 </w:t>
      </w:r>
      <w:r w:rsidR="00B74AE8" w:rsidRPr="008E13E3">
        <w:t>§ 1</w:t>
      </w:r>
      <w:r w:rsidRPr="008E13E3">
        <w:t xml:space="preserve">(b)(1). </w:t>
      </w:r>
    </w:p>
  </w:footnote>
  <w:footnote w:id="67">
    <w:p w14:paraId="3F12A7C5" w14:textId="77777777" w:rsidR="008229F8" w:rsidRPr="008E13E3" w:rsidRDefault="008229F8" w:rsidP="008229F8">
      <w:pPr>
        <w:pStyle w:val="FootnoteText"/>
      </w:pPr>
      <w:r w:rsidRPr="008E13E3">
        <w:rPr>
          <w:rStyle w:val="FootnoteReference"/>
        </w:rPr>
        <w:footnoteRef/>
      </w:r>
      <w:r w:rsidRPr="008E13E3">
        <w:t xml:space="preserve"> </w:t>
      </w:r>
      <w:r w:rsidRPr="008E13E3">
        <w:rPr>
          <w:i/>
          <w:iCs/>
        </w:rPr>
        <w:t>See also</w:t>
      </w:r>
      <w:r w:rsidRPr="008E13E3">
        <w:t xml:space="preserve"> PG&amp;E Adder Rehearing Order, 187 FERC </w:t>
      </w:r>
      <w:r w:rsidR="00B74AE8" w:rsidRPr="008E13E3">
        <w:t>¶ 6</w:t>
      </w:r>
      <w:r w:rsidRPr="008E13E3">
        <w:t xml:space="preserve">1,167 at </w:t>
      </w:r>
      <w:r w:rsidR="00B74AE8" w:rsidRPr="008E13E3">
        <w:t>P 3</w:t>
      </w:r>
      <w:r w:rsidRPr="008E13E3">
        <w:t>7.</w:t>
      </w:r>
    </w:p>
  </w:footnote>
  <w:footnote w:id="68">
    <w:p w14:paraId="49BAFCD8" w14:textId="77777777" w:rsidR="00253D16" w:rsidRPr="008E13E3" w:rsidRDefault="00253D16">
      <w:pPr>
        <w:pStyle w:val="FootnoteText"/>
      </w:pPr>
      <w:r w:rsidRPr="008E13E3">
        <w:rPr>
          <w:rStyle w:val="FootnoteReference"/>
        </w:rPr>
        <w:footnoteRef/>
      </w:r>
      <w:r w:rsidRPr="008E13E3">
        <w:t xml:space="preserve"> </w:t>
      </w:r>
      <w:r w:rsidRPr="008E13E3">
        <w:rPr>
          <w:i/>
          <w:iCs/>
        </w:rPr>
        <w:t>See</w:t>
      </w:r>
      <w:r w:rsidRPr="008E13E3">
        <w:rPr>
          <w:iCs/>
        </w:rPr>
        <w:t xml:space="preserve"> </w:t>
      </w:r>
      <w:r w:rsidRPr="008E13E3">
        <w:t xml:space="preserve">Rehearing Request at </w:t>
      </w:r>
      <w:r w:rsidR="00A879ED" w:rsidRPr="008E13E3">
        <w:t>13-17.</w:t>
      </w:r>
    </w:p>
  </w:footnote>
  <w:footnote w:id="69">
    <w:p w14:paraId="2582C0DD" w14:textId="77777777" w:rsidR="008638A1" w:rsidRPr="008E13E3" w:rsidRDefault="008638A1">
      <w:pPr>
        <w:pStyle w:val="FootnoteText"/>
      </w:pPr>
      <w:r w:rsidRPr="008E13E3">
        <w:rPr>
          <w:rStyle w:val="FootnoteReference"/>
        </w:rPr>
        <w:footnoteRef/>
      </w:r>
      <w:r w:rsidRPr="008E13E3">
        <w:t xml:space="preserve"> </w:t>
      </w:r>
      <w:r w:rsidR="00504DF3" w:rsidRPr="008E13E3">
        <w:rPr>
          <w:i/>
          <w:iCs/>
        </w:rPr>
        <w:t>Id.</w:t>
      </w:r>
      <w:r w:rsidRPr="008E13E3">
        <w:t xml:space="preserve"> </w:t>
      </w:r>
      <w:r w:rsidR="000A6095" w:rsidRPr="008E13E3">
        <w:t xml:space="preserve">at 26-38. </w:t>
      </w:r>
    </w:p>
  </w:footnote>
  <w:footnote w:id="70">
    <w:p w14:paraId="242DA252" w14:textId="77777777" w:rsidR="00AF67BA" w:rsidRPr="008E13E3" w:rsidRDefault="00AF67BA">
      <w:pPr>
        <w:pStyle w:val="FootnoteText"/>
      </w:pPr>
      <w:r w:rsidRPr="008E13E3">
        <w:rPr>
          <w:rStyle w:val="FootnoteReference"/>
        </w:rPr>
        <w:footnoteRef/>
      </w:r>
      <w:r w:rsidRPr="008E13E3">
        <w:t xml:space="preserve"> </w:t>
      </w:r>
      <w:r w:rsidRPr="008E13E3">
        <w:rPr>
          <w:i/>
          <w:iCs/>
        </w:rPr>
        <w:t>Id.</w:t>
      </w:r>
      <w:r w:rsidRPr="008E13E3">
        <w:t xml:space="preserve"> at </w:t>
      </w:r>
      <w:r w:rsidR="009D0375" w:rsidRPr="008E13E3">
        <w:t>27-29.</w:t>
      </w:r>
    </w:p>
  </w:footnote>
  <w:footnote w:id="71">
    <w:p w14:paraId="05B8FAEF" w14:textId="77777777" w:rsidR="002B087A" w:rsidRPr="008E13E3" w:rsidRDefault="002B087A">
      <w:pPr>
        <w:pStyle w:val="FootnoteText"/>
      </w:pPr>
      <w:r w:rsidRPr="008E13E3">
        <w:rPr>
          <w:rStyle w:val="FootnoteReference"/>
        </w:rPr>
        <w:footnoteRef/>
      </w:r>
      <w:r w:rsidRPr="008E13E3">
        <w:t xml:space="preserve"> </w:t>
      </w:r>
      <w:r w:rsidRPr="008E13E3">
        <w:rPr>
          <w:i/>
          <w:iCs/>
        </w:rPr>
        <w:t>Id.</w:t>
      </w:r>
      <w:r w:rsidRPr="008E13E3">
        <w:t xml:space="preserve"> at 26 (citing </w:t>
      </w:r>
      <w:r w:rsidRPr="008E13E3">
        <w:rPr>
          <w:i/>
          <w:iCs/>
        </w:rPr>
        <w:t>Dayton</w:t>
      </w:r>
      <w:r w:rsidRPr="008E13E3">
        <w:t xml:space="preserve">, </w:t>
      </w:r>
      <w:r w:rsidR="00DD5518" w:rsidRPr="008E13E3">
        <w:t>126 F.4th</w:t>
      </w:r>
      <w:r w:rsidRPr="008E13E3">
        <w:t xml:space="preserve"> at </w:t>
      </w:r>
      <w:r w:rsidR="00DD5518" w:rsidRPr="008E13E3">
        <w:t>112</w:t>
      </w:r>
      <w:r w:rsidR="00F6046F" w:rsidRPr="008E13E3">
        <w:t>7</w:t>
      </w:r>
      <w:r w:rsidRPr="008E13E3">
        <w:t xml:space="preserve">). </w:t>
      </w:r>
    </w:p>
  </w:footnote>
  <w:footnote w:id="72">
    <w:p w14:paraId="247F5FD1" w14:textId="77777777" w:rsidR="00401711" w:rsidRPr="008E13E3" w:rsidRDefault="00401711" w:rsidP="00401711">
      <w:pPr>
        <w:pStyle w:val="FootnoteText"/>
      </w:pPr>
      <w:r w:rsidRPr="008E13E3">
        <w:rPr>
          <w:rStyle w:val="FootnoteReference"/>
        </w:rPr>
        <w:footnoteRef/>
      </w:r>
      <w:r w:rsidRPr="008E13E3">
        <w:t xml:space="preserve"> </w:t>
      </w:r>
      <w:r w:rsidRPr="008E13E3">
        <w:rPr>
          <w:i/>
          <w:iCs/>
        </w:rPr>
        <w:t>Id.</w:t>
      </w:r>
      <w:r w:rsidRPr="008E13E3">
        <w:t xml:space="preserve"> at 28 (citing U.S. Const. art. II, </w:t>
      </w:r>
      <w:r w:rsidR="00B74AE8" w:rsidRPr="008E13E3">
        <w:t>§ 3</w:t>
      </w:r>
      <w:r w:rsidRPr="008E13E3">
        <w:t>, art. VI).</w:t>
      </w:r>
    </w:p>
  </w:footnote>
  <w:footnote w:id="73">
    <w:p w14:paraId="458BA938" w14:textId="77777777" w:rsidR="00401711" w:rsidRPr="008E13E3" w:rsidRDefault="00401711">
      <w:pPr>
        <w:pStyle w:val="FootnoteText"/>
      </w:pPr>
      <w:r w:rsidRPr="008E13E3">
        <w:rPr>
          <w:rStyle w:val="FootnoteReference"/>
        </w:rPr>
        <w:footnoteRef/>
      </w:r>
      <w:r w:rsidRPr="008E13E3">
        <w:t xml:space="preserve"> </w:t>
      </w:r>
      <w:r w:rsidRPr="008E13E3">
        <w:rPr>
          <w:i/>
          <w:iCs/>
        </w:rPr>
        <w:t>Id.</w:t>
      </w:r>
      <w:r w:rsidRPr="008E13E3">
        <w:t xml:space="preserve"> </w:t>
      </w:r>
    </w:p>
  </w:footnote>
  <w:footnote w:id="74">
    <w:p w14:paraId="19E7B073" w14:textId="77777777" w:rsidR="00E768F6" w:rsidRPr="008E13E3" w:rsidRDefault="00E768F6" w:rsidP="00E768F6">
      <w:pPr>
        <w:pStyle w:val="FootnoteText"/>
      </w:pPr>
      <w:r w:rsidRPr="008E13E3">
        <w:rPr>
          <w:rStyle w:val="FootnoteReference"/>
        </w:rPr>
        <w:footnoteRef/>
      </w:r>
      <w:r w:rsidRPr="008E13E3">
        <w:t xml:space="preserve"> </w:t>
      </w:r>
      <w:r w:rsidRPr="008E13E3">
        <w:rPr>
          <w:i/>
          <w:iCs/>
        </w:rPr>
        <w:t>Id</w:t>
      </w:r>
      <w:r w:rsidRPr="008E13E3">
        <w:t xml:space="preserve">. at </w:t>
      </w:r>
      <w:r w:rsidR="0007574D" w:rsidRPr="008E13E3">
        <w:t>3</w:t>
      </w:r>
      <w:r w:rsidRPr="008E13E3">
        <w:t>0.</w:t>
      </w:r>
    </w:p>
  </w:footnote>
  <w:footnote w:id="75">
    <w:p w14:paraId="6868DCDA" w14:textId="77777777" w:rsidR="00401711" w:rsidRPr="008E13E3" w:rsidRDefault="00401711">
      <w:pPr>
        <w:pStyle w:val="FootnoteText"/>
      </w:pPr>
      <w:r w:rsidRPr="008E13E3">
        <w:rPr>
          <w:rStyle w:val="FootnoteReference"/>
        </w:rPr>
        <w:footnoteRef/>
      </w:r>
      <w:r w:rsidRPr="008E13E3">
        <w:t xml:space="preserve"> </w:t>
      </w:r>
      <w:r w:rsidRPr="008E13E3">
        <w:rPr>
          <w:i/>
          <w:iCs/>
        </w:rPr>
        <w:t>Id.</w:t>
      </w:r>
      <w:r w:rsidRPr="008E13E3">
        <w:t xml:space="preserve"> at 27, 30.  </w:t>
      </w:r>
    </w:p>
  </w:footnote>
  <w:footnote w:id="76">
    <w:p w14:paraId="19ED966D" w14:textId="77777777" w:rsidR="00C0718A" w:rsidRPr="008E13E3" w:rsidRDefault="00C0718A" w:rsidP="00C0718A">
      <w:pPr>
        <w:pStyle w:val="FootnoteText"/>
      </w:pPr>
      <w:r w:rsidRPr="008E13E3">
        <w:rPr>
          <w:rStyle w:val="FootnoteReference"/>
        </w:rPr>
        <w:footnoteRef/>
      </w:r>
      <w:r w:rsidRPr="008E13E3">
        <w:t xml:space="preserve"> </w:t>
      </w:r>
      <w:r w:rsidR="00C42A6D" w:rsidRPr="008E13E3">
        <w:rPr>
          <w:i/>
          <w:iCs/>
        </w:rPr>
        <w:t>Id.</w:t>
      </w:r>
      <w:r w:rsidRPr="008E13E3">
        <w:t xml:space="preserve"> at </w:t>
      </w:r>
      <w:r w:rsidR="009B6F10" w:rsidRPr="008E13E3">
        <w:t>31</w:t>
      </w:r>
      <w:r w:rsidRPr="008E13E3">
        <w:t xml:space="preserve"> (citing 16 U.S.C. </w:t>
      </w:r>
      <w:r w:rsidR="00B74AE8" w:rsidRPr="008E13E3">
        <w:t>§ 8</w:t>
      </w:r>
      <w:r w:rsidRPr="008E13E3">
        <w:t xml:space="preserve">24(b)(1)); </w:t>
      </w:r>
      <w:r w:rsidRPr="008E13E3">
        <w:rPr>
          <w:i/>
          <w:iCs/>
        </w:rPr>
        <w:t xml:space="preserve">Duke Energy Trading &amp; Mktg., </w:t>
      </w:r>
      <w:r w:rsidR="00B74AE8" w:rsidRPr="008E13E3">
        <w:rPr>
          <w:i/>
          <w:iCs/>
        </w:rPr>
        <w:t>LLC v. D</w:t>
      </w:r>
      <w:r w:rsidRPr="008E13E3">
        <w:rPr>
          <w:i/>
          <w:iCs/>
        </w:rPr>
        <w:t>avis</w:t>
      </w:r>
      <w:r w:rsidRPr="008E13E3">
        <w:t>, 267 F.3d 1042, 1056 (9th Cir. 2001)).</w:t>
      </w:r>
    </w:p>
  </w:footnote>
  <w:footnote w:id="77">
    <w:p w14:paraId="4AB09768" w14:textId="77777777" w:rsidR="00C0718A" w:rsidRPr="008E13E3" w:rsidRDefault="00C0718A" w:rsidP="00C0718A">
      <w:pPr>
        <w:pStyle w:val="FootnoteText"/>
      </w:pPr>
      <w:r w:rsidRPr="008E13E3">
        <w:rPr>
          <w:rStyle w:val="FootnoteReference"/>
        </w:rPr>
        <w:footnoteRef/>
      </w:r>
      <w:r w:rsidRPr="008E13E3">
        <w:t xml:space="preserve"> </w:t>
      </w:r>
      <w:r w:rsidRPr="008E13E3">
        <w:rPr>
          <w:i/>
          <w:iCs/>
        </w:rPr>
        <w:t>Id</w:t>
      </w:r>
      <w:r w:rsidRPr="008E13E3">
        <w:t xml:space="preserve">. (citing </w:t>
      </w:r>
      <w:r w:rsidRPr="008E13E3">
        <w:rPr>
          <w:i/>
          <w:iCs/>
        </w:rPr>
        <w:t>Duke Energy</w:t>
      </w:r>
      <w:r w:rsidRPr="008E13E3">
        <w:t>, 267 F.3d at 1056).</w:t>
      </w:r>
    </w:p>
  </w:footnote>
  <w:footnote w:id="78">
    <w:p w14:paraId="73AD5961" w14:textId="77777777" w:rsidR="00C0718A" w:rsidRPr="008E13E3" w:rsidRDefault="00C0718A" w:rsidP="00C0718A">
      <w:pPr>
        <w:pStyle w:val="FootnoteText"/>
      </w:pPr>
      <w:r w:rsidRPr="008E13E3">
        <w:rPr>
          <w:rStyle w:val="FootnoteReference"/>
        </w:rPr>
        <w:footnoteRef/>
      </w:r>
      <w:r w:rsidRPr="008E13E3">
        <w:t xml:space="preserve"> </w:t>
      </w:r>
      <w:r w:rsidRPr="008E13E3">
        <w:rPr>
          <w:i/>
          <w:iCs/>
        </w:rPr>
        <w:t>Id</w:t>
      </w:r>
      <w:r w:rsidRPr="008E13E3">
        <w:t xml:space="preserve">. (citing </w:t>
      </w:r>
      <w:proofErr w:type="spellStart"/>
      <w:r w:rsidRPr="008E13E3">
        <w:rPr>
          <w:i/>
          <w:iCs/>
        </w:rPr>
        <w:t>Oneok</w:t>
      </w:r>
      <w:proofErr w:type="spellEnd"/>
      <w:r w:rsidRPr="008E13E3">
        <w:rPr>
          <w:i/>
          <w:iCs/>
        </w:rPr>
        <w:t>, Inc. v. Learjet, Inc.</w:t>
      </w:r>
      <w:r w:rsidRPr="008E13E3">
        <w:t>, 575 U.S. 373, 385 (2015)).</w:t>
      </w:r>
    </w:p>
  </w:footnote>
  <w:footnote w:id="79">
    <w:p w14:paraId="5C4ACDF4" w14:textId="77777777" w:rsidR="00C0718A" w:rsidRPr="008E13E3" w:rsidRDefault="00C0718A" w:rsidP="00C0718A">
      <w:pPr>
        <w:pStyle w:val="FootnoteText"/>
      </w:pPr>
      <w:r w:rsidRPr="008E13E3">
        <w:rPr>
          <w:rStyle w:val="FootnoteReference"/>
        </w:rPr>
        <w:footnoteRef/>
      </w:r>
      <w:r w:rsidRPr="008E13E3">
        <w:t xml:space="preserve"> </w:t>
      </w:r>
      <w:r w:rsidRPr="008E13E3">
        <w:rPr>
          <w:i/>
          <w:iCs/>
        </w:rPr>
        <w:t>Id</w:t>
      </w:r>
      <w:r w:rsidRPr="008E13E3">
        <w:t xml:space="preserve">. (citing </w:t>
      </w:r>
      <w:r w:rsidRPr="008E13E3">
        <w:rPr>
          <w:i/>
          <w:iCs/>
        </w:rPr>
        <w:t>Hughes v. Talen Energy Mktg., LLC</w:t>
      </w:r>
      <w:r w:rsidRPr="008E13E3">
        <w:t>, 578 U.S. 150, 163, 167 (2016) (</w:t>
      </w:r>
      <w:r w:rsidRPr="008E13E3">
        <w:rPr>
          <w:i/>
          <w:iCs/>
        </w:rPr>
        <w:t>Hughes</w:t>
      </w:r>
      <w:r w:rsidRPr="008E13E3">
        <w:t>)).</w:t>
      </w:r>
    </w:p>
  </w:footnote>
  <w:footnote w:id="80">
    <w:p w14:paraId="3CCC0340" w14:textId="77777777" w:rsidR="00012822" w:rsidRPr="008E13E3" w:rsidRDefault="00012822" w:rsidP="00012822">
      <w:pPr>
        <w:pStyle w:val="FootnoteText"/>
      </w:pPr>
      <w:r w:rsidRPr="008E13E3">
        <w:rPr>
          <w:rStyle w:val="FootnoteReference"/>
        </w:rPr>
        <w:footnoteRef/>
      </w:r>
      <w:r w:rsidRPr="008E13E3">
        <w:t xml:space="preserve"> </w:t>
      </w:r>
      <w:r w:rsidRPr="008E13E3">
        <w:rPr>
          <w:i/>
          <w:iCs/>
        </w:rPr>
        <w:t>Id</w:t>
      </w:r>
      <w:r w:rsidRPr="008E13E3">
        <w:t xml:space="preserve">. at </w:t>
      </w:r>
      <w:r w:rsidR="00585ADF" w:rsidRPr="008E13E3">
        <w:t>3</w:t>
      </w:r>
      <w:r w:rsidRPr="008E13E3">
        <w:t xml:space="preserve">2 (citing </w:t>
      </w:r>
      <w:r w:rsidR="00484E8B" w:rsidRPr="008E13E3">
        <w:t xml:space="preserve">Formula </w:t>
      </w:r>
      <w:r w:rsidR="00585ADF" w:rsidRPr="008E13E3">
        <w:t xml:space="preserve">Rate Order, 189 FERC </w:t>
      </w:r>
      <w:r w:rsidR="00B74AE8" w:rsidRPr="008E13E3">
        <w:t>¶ 6</w:t>
      </w:r>
      <w:r w:rsidR="00585ADF" w:rsidRPr="008E13E3">
        <w:t xml:space="preserve">1,248 </w:t>
      </w:r>
      <w:r w:rsidR="00BB2646" w:rsidRPr="008E13E3">
        <w:t xml:space="preserve">at </w:t>
      </w:r>
      <w:r w:rsidR="00B74AE8" w:rsidRPr="008E13E3">
        <w:t>P 3</w:t>
      </w:r>
      <w:r w:rsidR="00BB2646" w:rsidRPr="008E13E3">
        <w:t xml:space="preserve">7; </w:t>
      </w:r>
      <w:r w:rsidRPr="008E13E3">
        <w:t xml:space="preserve">PG&amp;E Adder Rehearing Order, 187 FERC </w:t>
      </w:r>
      <w:r w:rsidR="00B74AE8" w:rsidRPr="008E13E3">
        <w:t>¶ 6</w:t>
      </w:r>
      <w:r w:rsidRPr="008E13E3">
        <w:t xml:space="preserve">1,167 at </w:t>
      </w:r>
      <w:r w:rsidR="00B74AE8" w:rsidRPr="008E13E3">
        <w:t>P 3</w:t>
      </w:r>
      <w:r w:rsidRPr="008E13E3">
        <w:t>7).</w:t>
      </w:r>
    </w:p>
  </w:footnote>
  <w:footnote w:id="81">
    <w:p w14:paraId="79A58085" w14:textId="77777777" w:rsidR="00623508" w:rsidRPr="008E13E3" w:rsidRDefault="00623508">
      <w:pPr>
        <w:pStyle w:val="FootnoteText"/>
      </w:pPr>
      <w:r w:rsidRPr="008E13E3">
        <w:rPr>
          <w:rStyle w:val="FootnoteReference"/>
        </w:rPr>
        <w:footnoteRef/>
      </w:r>
      <w:r w:rsidRPr="008E13E3">
        <w:t xml:space="preserve"> </w:t>
      </w:r>
      <w:r w:rsidRPr="008E13E3">
        <w:rPr>
          <w:i/>
          <w:iCs/>
        </w:rPr>
        <w:t>Id.</w:t>
      </w:r>
      <w:r w:rsidRPr="008E13E3">
        <w:t xml:space="preserve"> </w:t>
      </w:r>
    </w:p>
  </w:footnote>
  <w:footnote w:id="82">
    <w:p w14:paraId="5D405916" w14:textId="77777777" w:rsidR="00ED1BBC" w:rsidRPr="008E13E3" w:rsidRDefault="00ED1BBC">
      <w:pPr>
        <w:pStyle w:val="FootnoteText"/>
      </w:pPr>
      <w:r w:rsidRPr="008E13E3">
        <w:rPr>
          <w:rStyle w:val="FootnoteReference"/>
        </w:rPr>
        <w:footnoteRef/>
      </w:r>
      <w:r w:rsidRPr="008E13E3">
        <w:t xml:space="preserve"> </w:t>
      </w:r>
      <w:r w:rsidRPr="008E13E3">
        <w:rPr>
          <w:i/>
          <w:iCs/>
        </w:rPr>
        <w:t>Id.</w:t>
      </w:r>
      <w:r w:rsidRPr="008E13E3">
        <w:t xml:space="preserve"> </w:t>
      </w:r>
      <w:r w:rsidR="005715F7" w:rsidRPr="008E13E3">
        <w:t xml:space="preserve">at 33 </w:t>
      </w:r>
      <w:r w:rsidR="008D1BF0" w:rsidRPr="008E13E3">
        <w:t xml:space="preserve">(citing </w:t>
      </w:r>
      <w:r w:rsidR="008D1BF0" w:rsidRPr="008E13E3">
        <w:rPr>
          <w:i/>
          <w:iCs/>
        </w:rPr>
        <w:t>Dayton</w:t>
      </w:r>
      <w:r w:rsidR="008D1BF0" w:rsidRPr="008E13E3">
        <w:t>, 126 F.4th</w:t>
      </w:r>
      <w:r w:rsidR="00C220AC" w:rsidRPr="008E13E3">
        <w:t xml:space="preserve"> at 1129). </w:t>
      </w:r>
    </w:p>
  </w:footnote>
  <w:footnote w:id="83">
    <w:p w14:paraId="08A69B0E" w14:textId="77777777" w:rsidR="005715F7" w:rsidRPr="008E13E3" w:rsidRDefault="005715F7">
      <w:pPr>
        <w:pStyle w:val="FootnoteText"/>
      </w:pPr>
      <w:r w:rsidRPr="008E13E3">
        <w:rPr>
          <w:rStyle w:val="FootnoteReference"/>
        </w:rPr>
        <w:footnoteRef/>
      </w:r>
      <w:r w:rsidRPr="008E13E3">
        <w:t xml:space="preserve"> </w:t>
      </w:r>
      <w:r w:rsidRPr="008E13E3">
        <w:rPr>
          <w:i/>
          <w:iCs/>
        </w:rPr>
        <w:t>Id.</w:t>
      </w:r>
      <w:r w:rsidRPr="008E13E3">
        <w:t xml:space="preserve"> (</w:t>
      </w:r>
      <w:r w:rsidR="006362EB" w:rsidRPr="008E13E3">
        <w:t xml:space="preserve">quoting 16 U.S.C. </w:t>
      </w:r>
      <w:r w:rsidR="00B74AE8" w:rsidRPr="008E13E3">
        <w:t>§ 8</w:t>
      </w:r>
      <w:r w:rsidR="006362EB" w:rsidRPr="008E13E3">
        <w:t>24(b)(1)</w:t>
      </w:r>
      <w:r w:rsidR="00CE0B06" w:rsidRPr="008E13E3">
        <w:t xml:space="preserve"> (emphasis added)</w:t>
      </w:r>
      <w:r w:rsidR="006362EB" w:rsidRPr="008E13E3">
        <w:t xml:space="preserve">). </w:t>
      </w:r>
    </w:p>
  </w:footnote>
  <w:footnote w:id="84">
    <w:p w14:paraId="7A971770" w14:textId="77777777" w:rsidR="00603F10" w:rsidRPr="008E13E3" w:rsidRDefault="00603F10">
      <w:pPr>
        <w:pStyle w:val="FootnoteText"/>
      </w:pPr>
      <w:r w:rsidRPr="008E13E3">
        <w:rPr>
          <w:rStyle w:val="FootnoteReference"/>
        </w:rPr>
        <w:footnoteRef/>
      </w:r>
      <w:r w:rsidRPr="008E13E3">
        <w:t xml:space="preserve"> </w:t>
      </w:r>
      <w:r w:rsidRPr="008E13E3">
        <w:rPr>
          <w:i/>
          <w:iCs/>
        </w:rPr>
        <w:t>Id.</w:t>
      </w:r>
      <w:r w:rsidRPr="008E13E3">
        <w:t xml:space="preserve"> (citing </w:t>
      </w:r>
      <w:r w:rsidR="00EE433C" w:rsidRPr="008E13E3">
        <w:rPr>
          <w:i/>
          <w:iCs/>
        </w:rPr>
        <w:t>Green Dev., LLC v. FERC</w:t>
      </w:r>
      <w:r w:rsidR="00EE433C" w:rsidRPr="008E13E3">
        <w:t xml:space="preserve">, 77 F.4th 997, 1000 (D.C. Cir. 2023); </w:t>
      </w:r>
      <w:proofErr w:type="spellStart"/>
      <w:r w:rsidR="00EE433C" w:rsidRPr="008E13E3">
        <w:rPr>
          <w:i/>
          <w:iCs/>
        </w:rPr>
        <w:t>Nat</w:t>
      </w:r>
      <w:r w:rsidR="00E41F53" w:rsidRPr="008E13E3">
        <w:rPr>
          <w:i/>
          <w:iCs/>
        </w:rPr>
        <w:t>’l</w:t>
      </w:r>
      <w:proofErr w:type="spellEnd"/>
      <w:r w:rsidR="00E41F53" w:rsidRPr="008E13E3">
        <w:rPr>
          <w:i/>
          <w:iCs/>
        </w:rPr>
        <w:t xml:space="preserve"> </w:t>
      </w:r>
      <w:proofErr w:type="spellStart"/>
      <w:r w:rsidR="00E41F53" w:rsidRPr="008E13E3">
        <w:rPr>
          <w:i/>
          <w:iCs/>
        </w:rPr>
        <w:t>Ass’n</w:t>
      </w:r>
      <w:proofErr w:type="spellEnd"/>
      <w:r w:rsidR="00E41F53" w:rsidRPr="008E13E3">
        <w:rPr>
          <w:i/>
          <w:iCs/>
        </w:rPr>
        <w:t xml:space="preserve"> of </w:t>
      </w:r>
      <w:proofErr w:type="spellStart"/>
      <w:r w:rsidR="00562FCD" w:rsidRPr="008E13E3">
        <w:rPr>
          <w:i/>
          <w:iCs/>
        </w:rPr>
        <w:t>Regul</w:t>
      </w:r>
      <w:proofErr w:type="spellEnd"/>
      <w:r w:rsidR="00562FCD" w:rsidRPr="008E13E3">
        <w:rPr>
          <w:i/>
          <w:iCs/>
        </w:rPr>
        <w:t>.</w:t>
      </w:r>
      <w:r w:rsidR="00E41F53" w:rsidRPr="008E13E3">
        <w:rPr>
          <w:i/>
          <w:iCs/>
        </w:rPr>
        <w:t xml:space="preserve"> Util. Comm’rs v. FERC</w:t>
      </w:r>
      <w:r w:rsidR="00E41F53" w:rsidRPr="008E13E3">
        <w:t xml:space="preserve">, </w:t>
      </w:r>
      <w:r w:rsidR="002E7E2E" w:rsidRPr="008E13E3">
        <w:t xml:space="preserve">964 F.3d 1177, 1181 (D.C. Cir. 2020); </w:t>
      </w:r>
      <w:r w:rsidR="002E7E2E" w:rsidRPr="008E13E3">
        <w:rPr>
          <w:i/>
          <w:iCs/>
        </w:rPr>
        <w:t>Portland Gen. Elec. Co. v. FERC</w:t>
      </w:r>
      <w:r w:rsidR="002E7E2E" w:rsidRPr="008E13E3">
        <w:t>, 854 F.3d 692</w:t>
      </w:r>
      <w:r w:rsidR="002B6F72" w:rsidRPr="008E13E3">
        <w:t>, 700 (D.C. Cir. 2017)</w:t>
      </w:r>
      <w:r w:rsidR="006B13D4" w:rsidRPr="008E13E3">
        <w:t xml:space="preserve">); </w:t>
      </w:r>
      <w:r w:rsidR="006B13D4" w:rsidRPr="008E13E3">
        <w:rPr>
          <w:i/>
          <w:iCs/>
        </w:rPr>
        <w:t xml:space="preserve">Transmission Agency of N. Cal. </w:t>
      </w:r>
      <w:r w:rsidR="00060B16" w:rsidRPr="008E13E3">
        <w:rPr>
          <w:i/>
          <w:iCs/>
        </w:rPr>
        <w:t>v</w:t>
      </w:r>
      <w:r w:rsidR="006B13D4" w:rsidRPr="008E13E3">
        <w:rPr>
          <w:i/>
          <w:iCs/>
        </w:rPr>
        <w:t>. Sierra Pac. Power Co.</w:t>
      </w:r>
      <w:r w:rsidR="006B13D4" w:rsidRPr="008E13E3">
        <w:t>, 295 F.3d 918, 928 (9th Cir. 2002)</w:t>
      </w:r>
      <w:r w:rsidR="00060B16" w:rsidRPr="008E13E3">
        <w:t xml:space="preserve">). </w:t>
      </w:r>
    </w:p>
  </w:footnote>
  <w:footnote w:id="85">
    <w:p w14:paraId="116B1C1A" w14:textId="77777777" w:rsidR="008A16FC" w:rsidRPr="008E13E3" w:rsidRDefault="008A16FC">
      <w:pPr>
        <w:pStyle w:val="FootnoteText"/>
      </w:pPr>
      <w:r w:rsidRPr="008E13E3">
        <w:rPr>
          <w:rStyle w:val="FootnoteReference"/>
        </w:rPr>
        <w:footnoteRef/>
      </w:r>
      <w:r w:rsidRPr="008E13E3">
        <w:t xml:space="preserve"> </w:t>
      </w:r>
      <w:r w:rsidR="008E6736" w:rsidRPr="008E13E3">
        <w:rPr>
          <w:i/>
          <w:iCs/>
        </w:rPr>
        <w:t>Id.</w:t>
      </w:r>
      <w:r w:rsidR="008E6736" w:rsidRPr="008E13E3">
        <w:t xml:space="preserve"> at 34 </w:t>
      </w:r>
      <w:r w:rsidR="000964CA" w:rsidRPr="008E13E3">
        <w:t>(</w:t>
      </w:r>
      <w:r w:rsidR="002C0E27" w:rsidRPr="008E13E3">
        <w:t xml:space="preserve">quoting </w:t>
      </w:r>
      <w:r w:rsidR="002C0E27" w:rsidRPr="008E13E3">
        <w:rPr>
          <w:i/>
          <w:iCs/>
        </w:rPr>
        <w:t>S.C. Pub. Serv. Auth. v. FERC</w:t>
      </w:r>
      <w:r w:rsidR="002C0E27" w:rsidRPr="008E13E3">
        <w:t xml:space="preserve">, 762 F.3d 41, 63 (D.C. Cir. 2014)). </w:t>
      </w:r>
    </w:p>
  </w:footnote>
  <w:footnote w:id="86">
    <w:p w14:paraId="5521C106" w14:textId="77777777" w:rsidR="00AA3A95" w:rsidRPr="008E13E3" w:rsidRDefault="00AA3A95">
      <w:pPr>
        <w:pStyle w:val="FootnoteText"/>
      </w:pPr>
      <w:r w:rsidRPr="008E13E3">
        <w:rPr>
          <w:rStyle w:val="FootnoteReference"/>
        </w:rPr>
        <w:footnoteRef/>
      </w:r>
      <w:r w:rsidRPr="008E13E3">
        <w:t xml:space="preserve"> </w:t>
      </w:r>
      <w:r w:rsidRPr="008E13E3">
        <w:rPr>
          <w:i/>
          <w:iCs/>
        </w:rPr>
        <w:t>Id.</w:t>
      </w:r>
      <w:r w:rsidRPr="008E13E3">
        <w:t xml:space="preserve"> (citing </w:t>
      </w:r>
      <w:r w:rsidR="00416B13" w:rsidRPr="008E13E3">
        <w:rPr>
          <w:i/>
          <w:iCs/>
        </w:rPr>
        <w:t>Dayton</w:t>
      </w:r>
      <w:r w:rsidR="00416B13" w:rsidRPr="008E13E3">
        <w:t xml:space="preserve">, 126 F.4th </w:t>
      </w:r>
      <w:r w:rsidR="00C16DA8" w:rsidRPr="008E13E3">
        <w:t xml:space="preserve">at </w:t>
      </w:r>
      <w:r w:rsidR="005D336A" w:rsidRPr="008E13E3">
        <w:t xml:space="preserve">1130 (citing </w:t>
      </w:r>
      <w:r w:rsidR="007614BC" w:rsidRPr="008E13E3">
        <w:rPr>
          <w:i/>
          <w:iCs/>
        </w:rPr>
        <w:t>Pac. Gas &amp; Elec. Co. v. State Energy Res. Conservation &amp; Dev. Comm’n</w:t>
      </w:r>
      <w:r w:rsidR="007614BC" w:rsidRPr="008E13E3">
        <w:t>, 461 U.S. 190, 213-16 (1983)</w:t>
      </w:r>
      <w:r w:rsidR="00F348A1" w:rsidRPr="008E13E3">
        <w:t xml:space="preserve">)). </w:t>
      </w:r>
    </w:p>
  </w:footnote>
  <w:footnote w:id="87">
    <w:p w14:paraId="0AF6EA22" w14:textId="77777777" w:rsidR="00D84B5D" w:rsidRPr="008E13E3" w:rsidRDefault="00D84B5D">
      <w:pPr>
        <w:pStyle w:val="FootnoteText"/>
      </w:pPr>
      <w:r w:rsidRPr="008E13E3">
        <w:rPr>
          <w:rStyle w:val="FootnoteReference"/>
        </w:rPr>
        <w:footnoteRef/>
      </w:r>
      <w:r w:rsidRPr="008E13E3">
        <w:t xml:space="preserve"> </w:t>
      </w:r>
      <w:r w:rsidRPr="008E13E3">
        <w:rPr>
          <w:i/>
          <w:iCs/>
        </w:rPr>
        <w:t>Id.</w:t>
      </w:r>
      <w:r w:rsidRPr="008E13E3">
        <w:t xml:space="preserve"> (</w:t>
      </w:r>
      <w:r w:rsidR="00B226A6" w:rsidRPr="008E13E3">
        <w:t xml:space="preserve">quoting </w:t>
      </w:r>
      <w:r w:rsidR="00B226A6" w:rsidRPr="008E13E3">
        <w:rPr>
          <w:i/>
          <w:iCs/>
        </w:rPr>
        <w:t>Dayton</w:t>
      </w:r>
      <w:r w:rsidR="00B226A6" w:rsidRPr="008E13E3">
        <w:t xml:space="preserve">, 126 F.4th at </w:t>
      </w:r>
      <w:r w:rsidR="00A811E0" w:rsidRPr="008E13E3">
        <w:t xml:space="preserve">1129-30). </w:t>
      </w:r>
    </w:p>
  </w:footnote>
  <w:footnote w:id="88">
    <w:p w14:paraId="3D80E3DB" w14:textId="77777777" w:rsidR="00C051EF" w:rsidRPr="008E13E3" w:rsidRDefault="00C051EF">
      <w:pPr>
        <w:pStyle w:val="FootnoteText"/>
      </w:pPr>
      <w:r w:rsidRPr="008E13E3">
        <w:rPr>
          <w:rStyle w:val="FootnoteReference"/>
        </w:rPr>
        <w:footnoteRef/>
      </w:r>
      <w:r w:rsidRPr="008E13E3">
        <w:t xml:space="preserve"> </w:t>
      </w:r>
      <w:r w:rsidRPr="008E13E3">
        <w:rPr>
          <w:i/>
          <w:iCs/>
        </w:rPr>
        <w:t>Id.</w:t>
      </w:r>
      <w:r w:rsidRPr="008E13E3">
        <w:t xml:space="preserve"> at 34-35 (citing 16 U.S.C. </w:t>
      </w:r>
      <w:r w:rsidR="00B74AE8" w:rsidRPr="008E13E3">
        <w:t>§ 8</w:t>
      </w:r>
      <w:r w:rsidRPr="008E13E3">
        <w:t xml:space="preserve">24(b)(1)). </w:t>
      </w:r>
    </w:p>
  </w:footnote>
  <w:footnote w:id="89">
    <w:p w14:paraId="14B229AB" w14:textId="77777777" w:rsidR="00F03974" w:rsidRPr="008E13E3" w:rsidRDefault="00F03974">
      <w:pPr>
        <w:pStyle w:val="FootnoteText"/>
      </w:pPr>
      <w:r w:rsidRPr="008E13E3">
        <w:rPr>
          <w:rStyle w:val="FootnoteReference"/>
        </w:rPr>
        <w:footnoteRef/>
      </w:r>
      <w:r w:rsidRPr="008E13E3">
        <w:t xml:space="preserve"> </w:t>
      </w:r>
      <w:r w:rsidRPr="008E13E3">
        <w:rPr>
          <w:i/>
          <w:iCs/>
        </w:rPr>
        <w:t>Id.</w:t>
      </w:r>
      <w:r w:rsidRPr="008E13E3">
        <w:t xml:space="preserve"> </w:t>
      </w:r>
      <w:r w:rsidR="00066734" w:rsidRPr="008E13E3">
        <w:t xml:space="preserve">at 35 </w:t>
      </w:r>
      <w:r w:rsidRPr="008E13E3">
        <w:t xml:space="preserve">(quoting </w:t>
      </w:r>
      <w:r w:rsidRPr="008E13E3">
        <w:rPr>
          <w:i/>
          <w:iCs/>
        </w:rPr>
        <w:t>Dayton</w:t>
      </w:r>
      <w:r w:rsidRPr="008E13E3">
        <w:t>, 12</w:t>
      </w:r>
      <w:r w:rsidR="00066734" w:rsidRPr="008E13E3">
        <w:t xml:space="preserve">6 F.4th at 1130). </w:t>
      </w:r>
    </w:p>
  </w:footnote>
  <w:footnote w:id="90">
    <w:p w14:paraId="11F5482F" w14:textId="77777777" w:rsidR="007E5D55" w:rsidRPr="008E13E3" w:rsidRDefault="007E5D55">
      <w:pPr>
        <w:pStyle w:val="FootnoteText"/>
      </w:pPr>
      <w:r w:rsidRPr="008E13E3">
        <w:rPr>
          <w:rStyle w:val="FootnoteReference"/>
        </w:rPr>
        <w:footnoteRef/>
      </w:r>
      <w:r w:rsidRPr="008E13E3">
        <w:t xml:space="preserve"> </w:t>
      </w:r>
      <w:r w:rsidRPr="008E13E3">
        <w:rPr>
          <w:i/>
          <w:iCs/>
        </w:rPr>
        <w:t>Id.</w:t>
      </w:r>
    </w:p>
  </w:footnote>
  <w:footnote w:id="91">
    <w:p w14:paraId="09DEFC5C" w14:textId="77777777" w:rsidR="00C52137" w:rsidRPr="008E13E3" w:rsidRDefault="00C52137">
      <w:pPr>
        <w:pStyle w:val="FootnoteText"/>
      </w:pPr>
      <w:r w:rsidRPr="008E13E3">
        <w:rPr>
          <w:rStyle w:val="FootnoteReference"/>
        </w:rPr>
        <w:footnoteRef/>
      </w:r>
      <w:r w:rsidRPr="008E13E3">
        <w:t xml:space="preserve"> </w:t>
      </w:r>
      <w:r w:rsidRPr="008E13E3">
        <w:rPr>
          <w:i/>
          <w:iCs/>
        </w:rPr>
        <w:t>Id.</w:t>
      </w:r>
      <w:r w:rsidRPr="008E13E3">
        <w:t xml:space="preserve"> at 35-36</w:t>
      </w:r>
      <w:r w:rsidR="00CF0FFE" w:rsidRPr="008E13E3">
        <w:t xml:space="preserve"> (</w:t>
      </w:r>
      <w:r w:rsidR="006C345F" w:rsidRPr="008E13E3">
        <w:t xml:space="preserve">citing 16 U.S.C. </w:t>
      </w:r>
      <w:r w:rsidR="00B74AE8" w:rsidRPr="008E13E3">
        <w:t>§ 8</w:t>
      </w:r>
      <w:r w:rsidR="00E95968" w:rsidRPr="008E13E3">
        <w:t xml:space="preserve">24a-1(a); </w:t>
      </w:r>
      <w:r w:rsidR="00E95968" w:rsidRPr="008E13E3">
        <w:rPr>
          <w:i/>
          <w:iCs/>
        </w:rPr>
        <w:t>Brazos Elec. Power Co-op, Inc. v. Sw. Power Admin.</w:t>
      </w:r>
      <w:r w:rsidR="00E95968" w:rsidRPr="008E13E3">
        <w:t xml:space="preserve">, 819 F.2d 537, 540 (5th Circ. 1987)). </w:t>
      </w:r>
      <w:r w:rsidR="0027686B" w:rsidRPr="008E13E3">
        <w:t xml:space="preserve"> </w:t>
      </w:r>
    </w:p>
  </w:footnote>
  <w:footnote w:id="92">
    <w:p w14:paraId="4A83FB43" w14:textId="77777777" w:rsidR="0004681F" w:rsidRPr="008E13E3" w:rsidRDefault="0004681F" w:rsidP="0004681F">
      <w:pPr>
        <w:pStyle w:val="FootnoteText"/>
      </w:pPr>
      <w:r w:rsidRPr="008E13E3">
        <w:rPr>
          <w:rStyle w:val="FootnoteReference"/>
        </w:rPr>
        <w:footnoteRef/>
      </w:r>
      <w:r w:rsidRPr="008E13E3">
        <w:t xml:space="preserve"> </w:t>
      </w:r>
      <w:r w:rsidRPr="008E13E3">
        <w:rPr>
          <w:i/>
          <w:iCs/>
        </w:rPr>
        <w:t>Id</w:t>
      </w:r>
      <w:r w:rsidRPr="008E13E3">
        <w:t xml:space="preserve">. at </w:t>
      </w:r>
      <w:r w:rsidR="00FD1D75" w:rsidRPr="008E13E3">
        <w:t>36</w:t>
      </w:r>
      <w:r w:rsidRPr="008E13E3">
        <w:t xml:space="preserve"> (citing 16 U.S.C. </w:t>
      </w:r>
      <w:r w:rsidR="00B74AE8" w:rsidRPr="008E13E3">
        <w:t>§ 8</w:t>
      </w:r>
      <w:r w:rsidRPr="008E13E3">
        <w:t xml:space="preserve">24a(a)).  </w:t>
      </w:r>
    </w:p>
  </w:footnote>
  <w:footnote w:id="93">
    <w:p w14:paraId="444B08C4" w14:textId="77777777" w:rsidR="0004681F" w:rsidRPr="008E13E3" w:rsidRDefault="0004681F" w:rsidP="0004681F">
      <w:pPr>
        <w:pStyle w:val="FootnoteText"/>
      </w:pPr>
      <w:r w:rsidRPr="008E13E3">
        <w:rPr>
          <w:rStyle w:val="FootnoteReference"/>
        </w:rPr>
        <w:footnoteRef/>
      </w:r>
      <w:r w:rsidRPr="008E13E3">
        <w:t xml:space="preserve"> </w:t>
      </w:r>
      <w:r w:rsidRPr="008E13E3">
        <w:rPr>
          <w:i/>
          <w:iCs/>
        </w:rPr>
        <w:t>Id</w:t>
      </w:r>
      <w:r w:rsidRPr="008E13E3">
        <w:t xml:space="preserve">. at </w:t>
      </w:r>
      <w:r w:rsidR="00F625C8" w:rsidRPr="008E13E3">
        <w:t>37.</w:t>
      </w:r>
    </w:p>
  </w:footnote>
  <w:footnote w:id="94">
    <w:p w14:paraId="0D9C0F5D" w14:textId="77777777" w:rsidR="00F61C65" w:rsidRPr="008E13E3" w:rsidRDefault="00F61C65">
      <w:pPr>
        <w:pStyle w:val="FootnoteText"/>
      </w:pPr>
      <w:r w:rsidRPr="008E13E3">
        <w:rPr>
          <w:rStyle w:val="FootnoteReference"/>
        </w:rPr>
        <w:footnoteRef/>
      </w:r>
      <w:r w:rsidRPr="008E13E3">
        <w:t xml:space="preserve"> </w:t>
      </w:r>
      <w:r w:rsidRPr="008E13E3">
        <w:rPr>
          <w:i/>
          <w:iCs/>
        </w:rPr>
        <w:t>Id.</w:t>
      </w:r>
      <w:r w:rsidRPr="008E13E3">
        <w:t xml:space="preserve"> at 37-38 (quoting </w:t>
      </w:r>
      <w:r w:rsidRPr="008E13E3">
        <w:rPr>
          <w:i/>
          <w:iCs/>
        </w:rPr>
        <w:t>Dayton</w:t>
      </w:r>
      <w:r w:rsidRPr="008E13E3">
        <w:t xml:space="preserve">, </w:t>
      </w:r>
      <w:r w:rsidR="005B0B8B" w:rsidRPr="008E13E3">
        <w:t xml:space="preserve">126 F.4th at 1128). </w:t>
      </w:r>
    </w:p>
  </w:footnote>
  <w:footnote w:id="95">
    <w:p w14:paraId="37061331" w14:textId="77777777" w:rsidR="00CA0F88" w:rsidRPr="008E13E3" w:rsidRDefault="00CA0F88">
      <w:pPr>
        <w:pStyle w:val="FootnoteText"/>
      </w:pPr>
      <w:r w:rsidRPr="008E13E3">
        <w:rPr>
          <w:rStyle w:val="FootnoteReference"/>
        </w:rPr>
        <w:footnoteRef/>
      </w:r>
      <w:r w:rsidRPr="008E13E3">
        <w:t xml:space="preserve"> </w:t>
      </w:r>
      <w:r w:rsidRPr="008E13E3">
        <w:rPr>
          <w:i/>
          <w:iCs/>
        </w:rPr>
        <w:t>Id.</w:t>
      </w:r>
      <w:r w:rsidRPr="008E13E3">
        <w:t xml:space="preserve"> at 38</w:t>
      </w:r>
      <w:r w:rsidR="00F2286C" w:rsidRPr="008E13E3">
        <w:t xml:space="preserve"> (quoting 16 U.S.C. </w:t>
      </w:r>
      <w:r w:rsidR="00B74AE8" w:rsidRPr="008E13E3">
        <w:t>§ 8</w:t>
      </w:r>
      <w:r w:rsidR="00F2286C" w:rsidRPr="008E13E3">
        <w:t xml:space="preserve">24a(a)). </w:t>
      </w:r>
    </w:p>
  </w:footnote>
  <w:footnote w:id="96">
    <w:p w14:paraId="7F1AFF4F" w14:textId="77777777" w:rsidR="00D1264E" w:rsidRPr="008E13E3" w:rsidRDefault="00D1264E">
      <w:pPr>
        <w:pStyle w:val="FootnoteText"/>
      </w:pPr>
      <w:r w:rsidRPr="008E13E3">
        <w:rPr>
          <w:rStyle w:val="FootnoteReference"/>
        </w:rPr>
        <w:footnoteRef/>
      </w:r>
      <w:r w:rsidRPr="008E13E3">
        <w:t xml:space="preserve"> 126 F.4th at 1126.</w:t>
      </w:r>
    </w:p>
  </w:footnote>
  <w:footnote w:id="97">
    <w:p w14:paraId="49C188F6" w14:textId="77777777" w:rsidR="00314024" w:rsidRPr="008E13E3" w:rsidRDefault="00314024" w:rsidP="00314024">
      <w:pPr>
        <w:pStyle w:val="FootnoteText"/>
      </w:pPr>
      <w:r w:rsidRPr="008E13E3">
        <w:rPr>
          <w:rStyle w:val="FootnoteReference"/>
        </w:rPr>
        <w:footnoteRef/>
      </w:r>
      <w:r w:rsidRPr="008E13E3">
        <w:t xml:space="preserve"> </w:t>
      </w:r>
      <w:r w:rsidRPr="008E13E3">
        <w:rPr>
          <w:i/>
          <w:iCs/>
        </w:rPr>
        <w:t>Nw. Cent. Pipeline Corp. v. State Corp. Comm’n of Kan.</w:t>
      </w:r>
      <w:r w:rsidRPr="008E13E3">
        <w:t>, 489 U.S. 493, 509 (1989).</w:t>
      </w:r>
    </w:p>
  </w:footnote>
  <w:footnote w:id="98">
    <w:p w14:paraId="20B02A99" w14:textId="77777777" w:rsidR="00314024" w:rsidRPr="008E13E3" w:rsidRDefault="00314024" w:rsidP="00314024">
      <w:pPr>
        <w:pStyle w:val="FootnoteText"/>
      </w:pPr>
      <w:r w:rsidRPr="008E13E3">
        <w:rPr>
          <w:rStyle w:val="FootnoteReference"/>
        </w:rPr>
        <w:footnoteRef/>
      </w:r>
      <w:r w:rsidRPr="008E13E3">
        <w:t xml:space="preserve"> </w:t>
      </w:r>
      <w:r w:rsidRPr="008E13E3">
        <w:rPr>
          <w:i/>
          <w:iCs/>
        </w:rPr>
        <w:t>Pac. Gas &amp; Elec. Co.</w:t>
      </w:r>
      <w:r w:rsidRPr="008E13E3">
        <w:t xml:space="preserve">, 461 U.S. </w:t>
      </w:r>
      <w:r w:rsidR="000C5F20" w:rsidRPr="008E13E3">
        <w:t>at</w:t>
      </w:r>
      <w:r w:rsidRPr="008E13E3">
        <w:t xml:space="preserve"> 204</w:t>
      </w:r>
      <w:r w:rsidR="003B5F32" w:rsidRPr="008E13E3">
        <w:t xml:space="preserve"> </w:t>
      </w:r>
      <w:r w:rsidRPr="008E13E3">
        <w:t xml:space="preserve">(citation omitted); </w:t>
      </w:r>
      <w:r w:rsidRPr="008E13E3">
        <w:rPr>
          <w:i/>
          <w:iCs/>
        </w:rPr>
        <w:t>see also Medtronic, Inc. v. Lohr</w:t>
      </w:r>
      <w:r w:rsidRPr="008E13E3">
        <w:t>, 518 U.S. 470, 507–08 (1996).</w:t>
      </w:r>
    </w:p>
  </w:footnote>
  <w:footnote w:id="99">
    <w:p w14:paraId="215EF245" w14:textId="77777777" w:rsidR="00314024" w:rsidRPr="008E13E3" w:rsidRDefault="00314024" w:rsidP="00314024">
      <w:pPr>
        <w:pStyle w:val="FootnoteText"/>
      </w:pPr>
      <w:r w:rsidRPr="008E13E3">
        <w:rPr>
          <w:rStyle w:val="FootnoteReference"/>
        </w:rPr>
        <w:footnoteRef/>
      </w:r>
      <w:r w:rsidRPr="008E13E3">
        <w:t xml:space="preserve"> </w:t>
      </w:r>
      <w:r w:rsidRPr="008E13E3">
        <w:rPr>
          <w:i/>
          <w:iCs/>
        </w:rPr>
        <w:t xml:space="preserve">Brown v. </w:t>
      </w:r>
      <w:proofErr w:type="spellStart"/>
      <w:r w:rsidRPr="008E13E3">
        <w:rPr>
          <w:i/>
          <w:iCs/>
        </w:rPr>
        <w:t>Earthboard</w:t>
      </w:r>
      <w:proofErr w:type="spellEnd"/>
      <w:r w:rsidRPr="008E13E3">
        <w:rPr>
          <w:i/>
          <w:iCs/>
        </w:rPr>
        <w:t xml:space="preserve"> Sports USA, Inc.</w:t>
      </w:r>
      <w:r w:rsidRPr="008E13E3">
        <w:t>, 481 F.3d 901, 912–13 (6th Cir. 2007)</w:t>
      </w:r>
      <w:r w:rsidR="00160CE8" w:rsidRPr="008E13E3">
        <w:t xml:space="preserve">; </w:t>
      </w:r>
      <w:r w:rsidR="00160CE8" w:rsidRPr="008E13E3">
        <w:rPr>
          <w:i/>
          <w:iCs/>
        </w:rPr>
        <w:t>Cohen v. ConAgra Brands, Inc.</w:t>
      </w:r>
      <w:r w:rsidR="00160CE8" w:rsidRPr="008E13E3">
        <w:t>, 16 F.4th 1283, 1289 (9th Cir. 2021)</w:t>
      </w:r>
      <w:r w:rsidR="006A15F6" w:rsidRPr="008E13E3">
        <w:t>.</w:t>
      </w:r>
    </w:p>
  </w:footnote>
  <w:footnote w:id="100">
    <w:p w14:paraId="52810DDE" w14:textId="77777777" w:rsidR="00314024" w:rsidRPr="008E13E3" w:rsidRDefault="00314024" w:rsidP="00314024">
      <w:pPr>
        <w:pStyle w:val="FootnoteText"/>
      </w:pPr>
      <w:r w:rsidRPr="008E13E3">
        <w:rPr>
          <w:rStyle w:val="FootnoteReference"/>
        </w:rPr>
        <w:footnoteRef/>
      </w:r>
      <w:r w:rsidRPr="008E13E3">
        <w:t xml:space="preserve"> 16 U.S.C. </w:t>
      </w:r>
      <w:r w:rsidR="00B74AE8" w:rsidRPr="008E13E3">
        <w:t>§ 8</w:t>
      </w:r>
      <w:r w:rsidRPr="008E13E3">
        <w:t>24(b).</w:t>
      </w:r>
    </w:p>
  </w:footnote>
  <w:footnote w:id="101">
    <w:p w14:paraId="3BFDDE75" w14:textId="77777777" w:rsidR="00314024" w:rsidRPr="008E13E3" w:rsidRDefault="00314024" w:rsidP="00314024">
      <w:pPr>
        <w:pStyle w:val="FootnoteText"/>
      </w:pPr>
      <w:r w:rsidRPr="008E13E3">
        <w:rPr>
          <w:rStyle w:val="FootnoteReference"/>
        </w:rPr>
        <w:footnoteRef/>
      </w:r>
      <w:r w:rsidRPr="008E13E3">
        <w:t xml:space="preserve"> </w:t>
      </w:r>
      <w:r w:rsidR="009608FF" w:rsidRPr="008E13E3">
        <w:rPr>
          <w:i/>
          <w:iCs/>
        </w:rPr>
        <w:t>Id.</w:t>
      </w:r>
      <w:r w:rsidRPr="008E13E3">
        <w:t xml:space="preserve"> </w:t>
      </w:r>
      <w:r w:rsidR="00B74AE8" w:rsidRPr="008E13E3">
        <w:t>§ 8</w:t>
      </w:r>
      <w:r w:rsidRPr="008E13E3">
        <w:t>24(a).</w:t>
      </w:r>
      <w:r w:rsidR="00D455B0" w:rsidRPr="008E13E3">
        <w:t xml:space="preserve">  </w:t>
      </w:r>
      <w:r w:rsidR="00DE74D2" w:rsidRPr="008E13E3">
        <w:t xml:space="preserve">This policy statement does not nullify the grant of authority to the Commission in the FPA.  </w:t>
      </w:r>
      <w:r w:rsidR="00DE74D2" w:rsidRPr="008E13E3">
        <w:rPr>
          <w:i/>
        </w:rPr>
        <w:t>See N</w:t>
      </w:r>
      <w:r w:rsidR="00D97CD2">
        <w:rPr>
          <w:i/>
          <w:iCs/>
        </w:rPr>
        <w:t>.</w:t>
      </w:r>
      <w:r w:rsidR="00DE74D2" w:rsidRPr="008E13E3">
        <w:rPr>
          <w:i/>
          <w:iCs/>
        </w:rPr>
        <w:t>Y</w:t>
      </w:r>
      <w:r w:rsidR="00D97CD2">
        <w:rPr>
          <w:i/>
          <w:iCs/>
        </w:rPr>
        <w:t>.</w:t>
      </w:r>
      <w:r w:rsidR="00DE74D2" w:rsidRPr="008E13E3">
        <w:rPr>
          <w:i/>
        </w:rPr>
        <w:t xml:space="preserve"> v. FERC</w:t>
      </w:r>
      <w:r w:rsidR="00DE74D2" w:rsidRPr="008E13E3">
        <w:t>, 535 U.S. 1, 22 (2002) (“Moreover, we have described the precise reserved state powers language in [FPA section] 201(a) as a mere policy declaration that cannot nullify a clear and specific grant of jurisdiction, even if the particular grant seems inconsistent with the broadly expressed purpose.” (quotation marks omitted)).</w:t>
      </w:r>
    </w:p>
  </w:footnote>
  <w:footnote w:id="102">
    <w:p w14:paraId="154BFC0F" w14:textId="77777777" w:rsidR="00314024" w:rsidRPr="008E13E3" w:rsidRDefault="00314024" w:rsidP="00314024">
      <w:pPr>
        <w:pStyle w:val="FootnoteText"/>
      </w:pPr>
      <w:r w:rsidRPr="008E13E3">
        <w:rPr>
          <w:rStyle w:val="FootnoteReference"/>
        </w:rPr>
        <w:footnoteRef/>
      </w:r>
      <w:r w:rsidRPr="008E13E3">
        <w:t xml:space="preserve"> </w:t>
      </w:r>
      <w:r w:rsidRPr="008E13E3">
        <w:rPr>
          <w:i/>
          <w:iCs/>
        </w:rPr>
        <w:t>Dayton</w:t>
      </w:r>
      <w:r w:rsidRPr="008E13E3">
        <w:t>, 126 F.4th at 1129.</w:t>
      </w:r>
    </w:p>
  </w:footnote>
  <w:footnote w:id="103">
    <w:p w14:paraId="1F117EDA" w14:textId="77777777" w:rsidR="0096222B" w:rsidRPr="008E13E3" w:rsidRDefault="0096222B">
      <w:pPr>
        <w:pStyle w:val="FootnoteText"/>
      </w:pPr>
      <w:r w:rsidRPr="008E13E3">
        <w:rPr>
          <w:rStyle w:val="FootnoteReference"/>
        </w:rPr>
        <w:footnoteRef/>
      </w:r>
      <w:r w:rsidRPr="008E13E3">
        <w:t xml:space="preserve"> </w:t>
      </w:r>
      <w:r w:rsidR="00A02F27" w:rsidRPr="008E13E3">
        <w:rPr>
          <w:i/>
          <w:iCs/>
        </w:rPr>
        <w:t xml:space="preserve">See </w:t>
      </w:r>
      <w:r w:rsidR="00E02678" w:rsidRPr="008E13E3">
        <w:rPr>
          <w:i/>
          <w:iCs/>
        </w:rPr>
        <w:t>id.</w:t>
      </w:r>
      <w:r w:rsidR="000D5CD4" w:rsidRPr="008E13E3">
        <w:t xml:space="preserve"> (“</w:t>
      </w:r>
      <w:r w:rsidR="004C0028" w:rsidRPr="008E13E3">
        <w:t>[T]</w:t>
      </w:r>
      <w:r w:rsidR="00557446" w:rsidRPr="008E13E3">
        <w:t>he FPA</w:t>
      </w:r>
      <w:r w:rsidR="00785BAC" w:rsidRPr="008E13E3">
        <w:t>’</w:t>
      </w:r>
      <w:r w:rsidR="00557446" w:rsidRPr="008E13E3">
        <w:t xml:space="preserve">s text does not grant FERC </w:t>
      </w:r>
      <w:r w:rsidR="00557446" w:rsidRPr="008E13E3">
        <w:rPr>
          <w:i/>
          <w:iCs/>
        </w:rPr>
        <w:t>exclusive</w:t>
      </w:r>
      <w:r w:rsidR="00557446" w:rsidRPr="008E13E3">
        <w:t xml:space="preserve"> jurisdiction over interstate transmission facilities.</w:t>
      </w:r>
      <w:r w:rsidR="004C0028" w:rsidRPr="008E13E3">
        <w:t xml:space="preserve"> </w:t>
      </w:r>
      <w:r w:rsidR="003531A7" w:rsidRPr="008E13E3">
        <w:t xml:space="preserve"> </w:t>
      </w:r>
      <w:r w:rsidR="004C0028" w:rsidRPr="008E13E3">
        <w:t>Instead, it recognizes states’ role in transmission regulation.</w:t>
      </w:r>
      <w:r w:rsidR="00557446" w:rsidRPr="008E13E3">
        <w:t>”).</w:t>
      </w:r>
      <w:r w:rsidR="00CF7F54" w:rsidRPr="008E13E3">
        <w:t xml:space="preserve">  Accordingly, </w:t>
      </w:r>
      <w:r w:rsidR="00BE6831" w:rsidRPr="008E13E3">
        <w:t xml:space="preserve">the </w:t>
      </w:r>
      <w:r w:rsidR="00BE6831" w:rsidRPr="008E13E3">
        <w:rPr>
          <w:i/>
          <w:iCs/>
        </w:rPr>
        <w:t>Dayton</w:t>
      </w:r>
      <w:r w:rsidR="00BE6831" w:rsidRPr="008E13E3">
        <w:t xml:space="preserve"> decision does not limit the Commission’s exclusive jurisdiction over the rates, terms, and conditions of service for transmitting electricity in interstate commerce</w:t>
      </w:r>
      <w:r w:rsidR="00406269" w:rsidRPr="008E13E3">
        <w:t>.</w:t>
      </w:r>
    </w:p>
  </w:footnote>
  <w:footnote w:id="104">
    <w:p w14:paraId="7D3C3BE5" w14:textId="77777777" w:rsidR="008A175B" w:rsidRPr="008E13E3" w:rsidRDefault="008A175B" w:rsidP="000C327C">
      <w:pPr>
        <w:pStyle w:val="FootnoteText"/>
      </w:pPr>
      <w:r w:rsidRPr="008E13E3">
        <w:rPr>
          <w:rStyle w:val="FootnoteReference"/>
        </w:rPr>
        <w:footnoteRef/>
      </w:r>
      <w:r w:rsidRPr="008E13E3">
        <w:t xml:space="preserve"> </w:t>
      </w:r>
      <w:r w:rsidR="001761CD" w:rsidRPr="008E13E3">
        <w:rPr>
          <w:i/>
          <w:iCs/>
        </w:rPr>
        <w:t>Piedmont Env’t Council v. FERC</w:t>
      </w:r>
      <w:r w:rsidR="001761CD" w:rsidRPr="008E13E3">
        <w:t>, 558 F.3d 304, 310 (4th Cir. 2009)</w:t>
      </w:r>
      <w:r w:rsidR="002F732E" w:rsidRPr="008E13E3">
        <w:t xml:space="preserve"> (addressing </w:t>
      </w:r>
      <w:r w:rsidR="00615997" w:rsidRPr="008E13E3">
        <w:t>scope of Commission’s limited statutory authority, under</w:t>
      </w:r>
      <w:r w:rsidR="002F732E" w:rsidRPr="008E13E3">
        <w:t xml:space="preserve"> </w:t>
      </w:r>
      <w:r w:rsidR="00F45B51" w:rsidRPr="008E13E3">
        <w:t xml:space="preserve">FPA section 216, 16 U.S.C. § </w:t>
      </w:r>
      <w:r w:rsidR="002623ED" w:rsidRPr="008E13E3">
        <w:t>824p</w:t>
      </w:r>
      <w:r w:rsidR="00615997" w:rsidRPr="008E13E3">
        <w:t>(a),</w:t>
      </w:r>
      <w:r w:rsidR="00D427B2" w:rsidRPr="008E13E3">
        <w:t> to issue permits for the construction or modification of transmission facilities in certain instances)</w:t>
      </w:r>
      <w:r w:rsidR="006B2DA4" w:rsidRPr="008E13E3">
        <w:t xml:space="preserve">; </w:t>
      </w:r>
      <w:r w:rsidR="009566C9" w:rsidRPr="008E13E3">
        <w:rPr>
          <w:i/>
          <w:iCs/>
        </w:rPr>
        <w:t>see also</w:t>
      </w:r>
      <w:r w:rsidR="009566C9" w:rsidRPr="008E13E3">
        <w:rPr>
          <w:iCs/>
        </w:rPr>
        <w:t xml:space="preserve"> </w:t>
      </w:r>
      <w:r w:rsidR="009566C9" w:rsidRPr="00492000">
        <w:rPr>
          <w:i/>
        </w:rPr>
        <w:t>Transmission Plan. &amp; Cost Allocation by Transmission Owning &amp; Operating Pub. Utils</w:t>
      </w:r>
      <w:r w:rsidR="009566C9">
        <w:rPr>
          <w:iCs/>
        </w:rPr>
        <w:t xml:space="preserve">., </w:t>
      </w:r>
      <w:r w:rsidR="009566C9" w:rsidRPr="008E13E3">
        <w:t xml:space="preserve">Order </w:t>
      </w:r>
      <w:r w:rsidR="00355CE7" w:rsidRPr="008E13E3">
        <w:t xml:space="preserve">No. 1000-B, 141 FERC </w:t>
      </w:r>
      <w:r w:rsidR="00B74AE8" w:rsidRPr="008E13E3">
        <w:t>¶ 6</w:t>
      </w:r>
      <w:r w:rsidR="00355CE7" w:rsidRPr="008E13E3">
        <w:t xml:space="preserve">1,044 (2012), </w:t>
      </w:r>
      <w:r w:rsidR="00355CE7" w:rsidRPr="008E13E3">
        <w:rPr>
          <w:i/>
          <w:iCs/>
        </w:rPr>
        <w:t>aff’d sub nom. S.C. Pub. Serv. Auth</w:t>
      </w:r>
      <w:r w:rsidR="00355CE7" w:rsidRPr="008E13E3">
        <w:t>, 762 F.3d 41</w:t>
      </w:r>
      <w:r w:rsidR="00A0779D" w:rsidRPr="008E13E3">
        <w:t xml:space="preserve"> (recognizing “that the states have a significant jurisdictional role in the siting, permitting, and construction of transmission facilities”).  </w:t>
      </w:r>
      <w:r w:rsidRPr="008E13E3">
        <w:t xml:space="preserve">California IOUs also state </w:t>
      </w:r>
      <w:r w:rsidR="00F808EC" w:rsidRPr="008E13E3">
        <w:t xml:space="preserve">that </w:t>
      </w:r>
      <w:r w:rsidRPr="008E13E3">
        <w:t xml:space="preserve">the Sixth Circuit in </w:t>
      </w:r>
      <w:r w:rsidRPr="008E13E3">
        <w:rPr>
          <w:i/>
          <w:iCs/>
        </w:rPr>
        <w:t>Dayton</w:t>
      </w:r>
      <w:r w:rsidRPr="008E13E3">
        <w:t xml:space="preserve"> erred in relying on PURPA as “show[</w:t>
      </w:r>
      <w:proofErr w:type="spellStart"/>
      <w:r w:rsidRPr="008E13E3">
        <w:t>ing</w:t>
      </w:r>
      <w:proofErr w:type="spellEnd"/>
      <w:r w:rsidRPr="008E13E3">
        <w:t xml:space="preserve">] that Congress did not preempt all state laws intersecting with interstate transmission.”  Rehearing Request at 35 (quoting </w:t>
      </w:r>
      <w:proofErr w:type="gramStart"/>
      <w:r w:rsidRPr="008E13E3">
        <w:rPr>
          <w:i/>
          <w:iCs/>
        </w:rPr>
        <w:t>Dayton</w:t>
      </w:r>
      <w:r w:rsidRPr="008E13E3">
        <w:t xml:space="preserve">, </w:t>
      </w:r>
      <w:r w:rsidR="00F22B9D">
        <w:t xml:space="preserve">  </w:t>
      </w:r>
      <w:proofErr w:type="gramEnd"/>
      <w:r w:rsidRPr="008E13E3">
        <w:t>126 F.4th at 1130).  While we agree with the Sixth Circuit that PURPA “tacitly acknowledges state authority over intrastate transmission,”</w:t>
      </w:r>
      <w:r w:rsidRPr="008E13E3">
        <w:rPr>
          <w:i/>
          <w:iCs/>
        </w:rPr>
        <w:t xml:space="preserve"> Dayton</w:t>
      </w:r>
      <w:r w:rsidRPr="008E13E3">
        <w:t>, 126 F.4th at 1130, we do not rely on PURPA to reach our decision in this case.</w:t>
      </w:r>
    </w:p>
  </w:footnote>
  <w:footnote w:id="105">
    <w:p w14:paraId="0AD2C412" w14:textId="77777777" w:rsidR="00314024" w:rsidRPr="008E13E3" w:rsidRDefault="00314024" w:rsidP="00314024">
      <w:pPr>
        <w:pStyle w:val="FootnoteText"/>
      </w:pPr>
      <w:r w:rsidRPr="008E13E3">
        <w:rPr>
          <w:rStyle w:val="FootnoteReference"/>
        </w:rPr>
        <w:footnoteRef/>
      </w:r>
      <w:r w:rsidRPr="008E13E3">
        <w:t xml:space="preserve"> Cal. Pub. Util. Code </w:t>
      </w:r>
      <w:r w:rsidR="00B74AE8" w:rsidRPr="008E13E3">
        <w:t>§ 2</w:t>
      </w:r>
      <w:r w:rsidRPr="008E13E3">
        <w:t xml:space="preserve">02. </w:t>
      </w:r>
    </w:p>
  </w:footnote>
  <w:footnote w:id="106">
    <w:p w14:paraId="52B88E07" w14:textId="77777777" w:rsidR="00314024" w:rsidRPr="008E13E3" w:rsidRDefault="00314024" w:rsidP="00314024">
      <w:pPr>
        <w:pStyle w:val="FootnoteText"/>
      </w:pPr>
      <w:r w:rsidRPr="008E13E3">
        <w:rPr>
          <w:rStyle w:val="FootnoteReference"/>
        </w:rPr>
        <w:footnoteRef/>
      </w:r>
      <w:r w:rsidRPr="008E13E3">
        <w:t xml:space="preserve"> </w:t>
      </w:r>
      <w:r w:rsidRPr="008E13E3">
        <w:rPr>
          <w:i/>
          <w:iCs/>
        </w:rPr>
        <w:t>Id.</w:t>
      </w:r>
      <w:r w:rsidRPr="008E13E3">
        <w:t xml:space="preserve"> </w:t>
      </w:r>
      <w:r w:rsidR="00B74AE8" w:rsidRPr="008E13E3">
        <w:t>§ 3</w:t>
      </w:r>
      <w:r w:rsidRPr="008E13E3">
        <w:t>30(</w:t>
      </w:r>
      <w:proofErr w:type="spellStart"/>
      <w:r w:rsidRPr="008E13E3">
        <w:t>i</w:t>
      </w:r>
      <w:proofErr w:type="spellEnd"/>
      <w:r w:rsidRPr="008E13E3">
        <w:t xml:space="preserve">), (h), (x); </w:t>
      </w:r>
      <w:r w:rsidRPr="008E13E3">
        <w:rPr>
          <w:i/>
          <w:iCs/>
        </w:rPr>
        <w:t>see also id.</w:t>
      </w:r>
      <w:r w:rsidRPr="008E13E3">
        <w:t xml:space="preserve"> </w:t>
      </w:r>
      <w:r w:rsidR="00B74AE8" w:rsidRPr="008E13E3">
        <w:t>§ 3</w:t>
      </w:r>
      <w:r w:rsidRPr="008E13E3">
        <w:t xml:space="preserve">30 (stating additional goals of California electricity market restructuring). </w:t>
      </w:r>
    </w:p>
  </w:footnote>
  <w:footnote w:id="107">
    <w:p w14:paraId="0D2D71D2" w14:textId="77777777" w:rsidR="00314024" w:rsidRPr="008E13E3" w:rsidRDefault="00314024" w:rsidP="00314024">
      <w:pPr>
        <w:pStyle w:val="FootnoteText"/>
      </w:pPr>
      <w:r w:rsidRPr="008E13E3">
        <w:rPr>
          <w:rStyle w:val="FootnoteReference"/>
        </w:rPr>
        <w:footnoteRef/>
      </w:r>
      <w:r w:rsidRPr="008E13E3">
        <w:t xml:space="preserve"> </w:t>
      </w:r>
      <w:r w:rsidRPr="008E13E3">
        <w:rPr>
          <w:i/>
          <w:iCs/>
        </w:rPr>
        <w:t>Id.</w:t>
      </w:r>
      <w:r w:rsidRPr="008E13E3">
        <w:t xml:space="preserve"> </w:t>
      </w:r>
      <w:r w:rsidR="00B74AE8" w:rsidRPr="008E13E3">
        <w:t>§ 3</w:t>
      </w:r>
      <w:r w:rsidRPr="008E13E3">
        <w:t>62(a).</w:t>
      </w:r>
    </w:p>
  </w:footnote>
  <w:footnote w:id="108">
    <w:p w14:paraId="23743F83" w14:textId="77777777" w:rsidR="00314024" w:rsidRPr="008E13E3" w:rsidRDefault="00314024" w:rsidP="00314024">
      <w:pPr>
        <w:pStyle w:val="FootnoteText"/>
      </w:pPr>
      <w:r w:rsidRPr="008E13E3">
        <w:rPr>
          <w:rStyle w:val="FootnoteReference"/>
        </w:rPr>
        <w:footnoteRef/>
      </w:r>
      <w:r w:rsidRPr="008E13E3">
        <w:t xml:space="preserve"> </w:t>
      </w:r>
      <w:r w:rsidRPr="008E13E3">
        <w:rPr>
          <w:i/>
          <w:iCs/>
        </w:rPr>
        <w:t>Dayton</w:t>
      </w:r>
      <w:r w:rsidRPr="008E13E3">
        <w:t>, 126 F.4</w:t>
      </w:r>
      <w:r w:rsidR="00A103E5" w:rsidRPr="008E13E3">
        <w:t xml:space="preserve">th </w:t>
      </w:r>
      <w:r w:rsidRPr="008E13E3">
        <w:t>at 1130</w:t>
      </w:r>
      <w:r w:rsidR="00A103E5" w:rsidRPr="008E13E3">
        <w:t>.</w:t>
      </w:r>
      <w:r w:rsidR="00143CD6" w:rsidRPr="008E13E3">
        <w:t xml:space="preserve"> </w:t>
      </w:r>
    </w:p>
  </w:footnote>
  <w:footnote w:id="109">
    <w:p w14:paraId="3DB53D3C" w14:textId="77777777" w:rsidR="00314024" w:rsidRPr="008E13E3" w:rsidRDefault="00314024" w:rsidP="00314024">
      <w:pPr>
        <w:pStyle w:val="FootnoteText"/>
      </w:pPr>
      <w:r w:rsidRPr="008E13E3">
        <w:rPr>
          <w:rStyle w:val="FootnoteReference"/>
        </w:rPr>
        <w:footnoteRef/>
      </w:r>
      <w:r w:rsidRPr="008E13E3">
        <w:t xml:space="preserve"> </w:t>
      </w:r>
      <w:r w:rsidRPr="008E13E3">
        <w:rPr>
          <w:i/>
          <w:iCs/>
        </w:rPr>
        <w:t>Hughes</w:t>
      </w:r>
      <w:r w:rsidRPr="008E13E3">
        <w:t>, 578 U.S. at 153.</w:t>
      </w:r>
    </w:p>
  </w:footnote>
  <w:footnote w:id="110">
    <w:p w14:paraId="6CFB0CEC" w14:textId="77777777" w:rsidR="00314024" w:rsidRPr="008E13E3" w:rsidRDefault="00314024" w:rsidP="00314024">
      <w:pPr>
        <w:pStyle w:val="FootnoteText"/>
      </w:pPr>
      <w:r w:rsidRPr="008E13E3">
        <w:rPr>
          <w:rStyle w:val="FootnoteReference"/>
        </w:rPr>
        <w:footnoteRef/>
      </w:r>
      <w:r w:rsidRPr="008E13E3">
        <w:t xml:space="preserve"> </w:t>
      </w:r>
      <w:r w:rsidRPr="008E13E3">
        <w:rPr>
          <w:i/>
          <w:iCs/>
        </w:rPr>
        <w:t>Dayton</w:t>
      </w:r>
      <w:r w:rsidRPr="008E13E3">
        <w:t xml:space="preserve">, 126 F.4th </w:t>
      </w:r>
      <w:r w:rsidR="00A103E5" w:rsidRPr="008E13E3">
        <w:t>at</w:t>
      </w:r>
      <w:r w:rsidRPr="008E13E3">
        <w:t xml:space="preserve"> 1131.</w:t>
      </w:r>
      <w:r w:rsidR="00355CE7" w:rsidRPr="008E13E3">
        <w:t xml:space="preserve">  </w:t>
      </w:r>
    </w:p>
  </w:footnote>
  <w:footnote w:id="111">
    <w:p w14:paraId="762BA9AD" w14:textId="77777777" w:rsidR="002A4ED6" w:rsidRPr="008E13E3" w:rsidRDefault="002A4ED6" w:rsidP="002A4ED6">
      <w:pPr>
        <w:pStyle w:val="FootnoteText"/>
      </w:pPr>
      <w:r w:rsidRPr="008E13E3">
        <w:rPr>
          <w:rStyle w:val="FootnoteReference"/>
        </w:rPr>
        <w:footnoteRef/>
      </w:r>
      <w:r w:rsidRPr="008E13E3">
        <w:t xml:space="preserve"> </w:t>
      </w:r>
      <w:r w:rsidR="00636175" w:rsidRPr="008E13E3">
        <w:rPr>
          <w:i/>
          <w:iCs/>
        </w:rPr>
        <w:t xml:space="preserve">Id.  </w:t>
      </w:r>
      <w:r w:rsidR="00636175" w:rsidRPr="008E13E3">
        <w:t xml:space="preserve">The timing of California’s enactment of section 362(c), following </w:t>
      </w:r>
      <w:r w:rsidR="00636175" w:rsidRPr="008E13E3">
        <w:rPr>
          <w:i/>
          <w:iCs/>
        </w:rPr>
        <w:t>CPUC II</w:t>
      </w:r>
      <w:r w:rsidR="00636175" w:rsidRPr="008E13E3">
        <w:t>, does not change our analysis</w:t>
      </w:r>
      <w:r w:rsidR="002729FC" w:rsidRPr="008E13E3">
        <w:t xml:space="preserve"> because section 362(c) remains targeted at transmission facilities, with only incidental </w:t>
      </w:r>
      <w:r w:rsidR="00B15850" w:rsidRPr="008E13E3">
        <w:t>effects</w:t>
      </w:r>
      <w:r w:rsidR="002729FC" w:rsidRPr="008E13E3">
        <w:t xml:space="preserve"> on interstate wholesale rates as a result of Commission policy implementing FPA section 219(c)</w:t>
      </w:r>
      <w:r w:rsidR="00636175" w:rsidRPr="008E13E3">
        <w:t xml:space="preserve">.  </w:t>
      </w:r>
      <w:r w:rsidR="00636175" w:rsidRPr="008E13E3">
        <w:rPr>
          <w:i/>
          <w:iCs/>
        </w:rPr>
        <w:t>See</w:t>
      </w:r>
      <w:r w:rsidR="00636175" w:rsidRPr="008E13E3">
        <w:t xml:space="preserve"> Rehearing Request at 35-36.</w:t>
      </w:r>
    </w:p>
  </w:footnote>
  <w:footnote w:id="112">
    <w:p w14:paraId="04193A14" w14:textId="77777777" w:rsidR="00314024" w:rsidRPr="008E13E3" w:rsidRDefault="00314024" w:rsidP="00314024">
      <w:pPr>
        <w:pStyle w:val="FootnoteText"/>
      </w:pPr>
      <w:r w:rsidRPr="008E13E3">
        <w:rPr>
          <w:rStyle w:val="FootnoteReference"/>
        </w:rPr>
        <w:footnoteRef/>
      </w:r>
      <w:r w:rsidRPr="008E13E3">
        <w:t xml:space="preserve"> </w:t>
      </w:r>
      <w:r w:rsidRPr="008E13E3">
        <w:rPr>
          <w:i/>
          <w:iCs/>
        </w:rPr>
        <w:t xml:space="preserve">Crosby v. </w:t>
      </w:r>
      <w:proofErr w:type="spellStart"/>
      <w:r w:rsidRPr="008E13E3">
        <w:rPr>
          <w:i/>
          <w:iCs/>
        </w:rPr>
        <w:t>Nat’l</w:t>
      </w:r>
      <w:proofErr w:type="spellEnd"/>
      <w:r w:rsidRPr="008E13E3">
        <w:rPr>
          <w:i/>
          <w:iCs/>
        </w:rPr>
        <w:t xml:space="preserve"> Foreign Trade Council</w:t>
      </w:r>
      <w:r w:rsidRPr="008E13E3">
        <w:t>, 530 U.S. 363, 372–73 (2000) (citation omitted).</w:t>
      </w:r>
    </w:p>
  </w:footnote>
  <w:footnote w:id="113">
    <w:p w14:paraId="56D5B7DA" w14:textId="77777777" w:rsidR="00B655D0" w:rsidRPr="008E13E3" w:rsidRDefault="00B655D0" w:rsidP="00B655D0">
      <w:pPr>
        <w:pStyle w:val="FootnoteText"/>
      </w:pPr>
      <w:r w:rsidRPr="008E13E3">
        <w:rPr>
          <w:rStyle w:val="FootnoteReference"/>
        </w:rPr>
        <w:footnoteRef/>
      </w:r>
      <w:r w:rsidRPr="008E13E3">
        <w:t xml:space="preserve"> </w:t>
      </w:r>
      <w:r w:rsidRPr="008E13E3">
        <w:rPr>
          <w:i/>
          <w:iCs/>
        </w:rPr>
        <w:t>See Dayton</w:t>
      </w:r>
      <w:r w:rsidRPr="008E13E3">
        <w:t xml:space="preserve">, 126 F.4th at 1127 (citing </w:t>
      </w:r>
      <w:r w:rsidRPr="008E13E3">
        <w:rPr>
          <w:i/>
          <w:iCs/>
        </w:rPr>
        <w:t>Crosby</w:t>
      </w:r>
      <w:r w:rsidRPr="008E13E3">
        <w:t xml:space="preserve">, 530 U.S. at 373). </w:t>
      </w:r>
    </w:p>
  </w:footnote>
  <w:footnote w:id="114">
    <w:p w14:paraId="5FFB14F0" w14:textId="77777777" w:rsidR="00314024" w:rsidRPr="008E13E3" w:rsidRDefault="00314024" w:rsidP="00314024">
      <w:pPr>
        <w:pStyle w:val="FootnoteText"/>
      </w:pPr>
      <w:r w:rsidRPr="008E13E3">
        <w:rPr>
          <w:rStyle w:val="FootnoteReference"/>
        </w:rPr>
        <w:footnoteRef/>
      </w:r>
      <w:r w:rsidRPr="008E13E3">
        <w:t xml:space="preserve"> </w:t>
      </w:r>
      <w:r w:rsidRPr="008E13E3">
        <w:rPr>
          <w:i/>
          <w:iCs/>
        </w:rPr>
        <w:t>Id</w:t>
      </w:r>
      <w:r w:rsidRPr="008E13E3">
        <w:t xml:space="preserve">. at </w:t>
      </w:r>
      <w:r w:rsidR="00DD3444" w:rsidRPr="008E13E3">
        <w:t xml:space="preserve">1128 </w:t>
      </w:r>
      <w:r w:rsidRPr="008E13E3">
        <w:t xml:space="preserve">(quoting </w:t>
      </w:r>
      <w:r w:rsidRPr="008E13E3">
        <w:rPr>
          <w:i/>
          <w:iCs/>
        </w:rPr>
        <w:t>Savage v. Jones</w:t>
      </w:r>
      <w:r w:rsidRPr="008E13E3">
        <w:t>, 225 U.S. 501, 533 (1912)).</w:t>
      </w:r>
    </w:p>
  </w:footnote>
  <w:footnote w:id="115">
    <w:p w14:paraId="3E5F26DC" w14:textId="77777777" w:rsidR="00314024" w:rsidRPr="008E13E3" w:rsidRDefault="00314024" w:rsidP="00314024">
      <w:pPr>
        <w:pStyle w:val="FootnoteText"/>
      </w:pPr>
      <w:r w:rsidRPr="008E13E3">
        <w:rPr>
          <w:rStyle w:val="FootnoteReference"/>
        </w:rPr>
        <w:footnoteRef/>
      </w:r>
      <w:r w:rsidRPr="008E13E3">
        <w:t xml:space="preserve"> </w:t>
      </w:r>
      <w:r w:rsidRPr="008E13E3">
        <w:rPr>
          <w:i/>
          <w:iCs/>
        </w:rPr>
        <w:t>Id</w:t>
      </w:r>
      <w:r w:rsidRPr="008E13E3">
        <w:t xml:space="preserve">. (citing </w:t>
      </w:r>
      <w:r w:rsidRPr="008E13E3">
        <w:rPr>
          <w:i/>
          <w:iCs/>
        </w:rPr>
        <w:t>Chamber of Com. of U.S. v. Whiting</w:t>
      </w:r>
      <w:r w:rsidRPr="008E13E3">
        <w:t>, 563 U.S. 582, 604 (2011)).</w:t>
      </w:r>
    </w:p>
  </w:footnote>
  <w:footnote w:id="116">
    <w:p w14:paraId="6362A06F" w14:textId="77777777" w:rsidR="00314024" w:rsidRPr="008E13E3" w:rsidRDefault="00314024" w:rsidP="00314024">
      <w:pPr>
        <w:pStyle w:val="FootnoteText"/>
      </w:pPr>
      <w:r w:rsidRPr="008E13E3">
        <w:rPr>
          <w:rStyle w:val="FootnoteReference"/>
        </w:rPr>
        <w:footnoteRef/>
      </w:r>
      <w:r w:rsidRPr="008E13E3">
        <w:t xml:space="preserve"> </w:t>
      </w:r>
      <w:r w:rsidRPr="008E13E3">
        <w:rPr>
          <w:i/>
          <w:iCs/>
        </w:rPr>
        <w:t>Id</w:t>
      </w:r>
      <w:r w:rsidRPr="008E13E3">
        <w:t>.</w:t>
      </w:r>
    </w:p>
  </w:footnote>
  <w:footnote w:id="117">
    <w:p w14:paraId="59B1AC59" w14:textId="77777777" w:rsidR="00C21EFA" w:rsidRPr="008E13E3" w:rsidRDefault="00C21EFA">
      <w:pPr>
        <w:pStyle w:val="FootnoteText"/>
      </w:pPr>
      <w:r w:rsidRPr="008E13E3">
        <w:rPr>
          <w:rStyle w:val="FootnoteReference"/>
        </w:rPr>
        <w:footnoteRef/>
      </w:r>
      <w:r w:rsidRPr="008E13E3">
        <w:t xml:space="preserve"> </w:t>
      </w:r>
      <w:r w:rsidR="00C879FD" w:rsidRPr="008E13E3">
        <w:rPr>
          <w:i/>
          <w:iCs/>
        </w:rPr>
        <w:t>Id.</w:t>
      </w:r>
    </w:p>
  </w:footnote>
  <w:footnote w:id="118">
    <w:p w14:paraId="102DAD00" w14:textId="77777777" w:rsidR="00314024" w:rsidRPr="008E13E3" w:rsidRDefault="00314024" w:rsidP="00314024">
      <w:pPr>
        <w:pStyle w:val="FootnoteText"/>
      </w:pPr>
      <w:r w:rsidRPr="008E13E3">
        <w:rPr>
          <w:rStyle w:val="FootnoteReference"/>
        </w:rPr>
        <w:footnoteRef/>
      </w:r>
      <w:r w:rsidRPr="008E13E3">
        <w:t xml:space="preserve"> </w:t>
      </w:r>
      <w:r w:rsidR="00273AF9" w:rsidRPr="008E13E3">
        <w:t>Rehearing Request</w:t>
      </w:r>
      <w:r w:rsidRPr="008E13E3">
        <w:t xml:space="preserve"> at </w:t>
      </w:r>
      <w:r w:rsidR="008A79CC" w:rsidRPr="008E13E3">
        <w:t>37.</w:t>
      </w:r>
    </w:p>
  </w:footnote>
  <w:footnote w:id="119">
    <w:p w14:paraId="4352843C" w14:textId="77777777" w:rsidR="00314024" w:rsidRPr="008E13E3" w:rsidRDefault="00314024" w:rsidP="00314024">
      <w:pPr>
        <w:pStyle w:val="FootnoteText"/>
      </w:pPr>
      <w:r w:rsidRPr="008E13E3">
        <w:rPr>
          <w:rStyle w:val="FootnoteReference"/>
        </w:rPr>
        <w:footnoteRef/>
      </w:r>
      <w:r w:rsidRPr="008E13E3">
        <w:t xml:space="preserve"> </w:t>
      </w:r>
      <w:r w:rsidRPr="008E13E3">
        <w:rPr>
          <w:i/>
          <w:iCs/>
        </w:rPr>
        <w:t>Dayton</w:t>
      </w:r>
      <w:r w:rsidRPr="008E13E3">
        <w:t xml:space="preserve">, 126 F.4th at 1128 (citing </w:t>
      </w:r>
      <w:r w:rsidRPr="008E13E3">
        <w:rPr>
          <w:i/>
          <w:iCs/>
        </w:rPr>
        <w:t>Wyeth v. Levine</w:t>
      </w:r>
      <w:r w:rsidRPr="008E13E3">
        <w:t xml:space="preserve">, 555 U.S. 555, 601 (2009); </w:t>
      </w:r>
      <w:r w:rsidRPr="008E13E3">
        <w:rPr>
          <w:i/>
          <w:iCs/>
        </w:rPr>
        <w:t>Geier v. Am. Honda Motor Co.</w:t>
      </w:r>
      <w:r w:rsidRPr="008E13E3">
        <w:t>, 529 U.S. 861, 904 (2000)).</w:t>
      </w:r>
    </w:p>
  </w:footnote>
  <w:footnote w:id="120">
    <w:p w14:paraId="4FA7C438" w14:textId="77777777" w:rsidR="00314024" w:rsidRPr="008E13E3" w:rsidRDefault="00314024" w:rsidP="00314024">
      <w:pPr>
        <w:pStyle w:val="FootnoteText"/>
      </w:pPr>
      <w:r w:rsidRPr="008E13E3">
        <w:rPr>
          <w:rStyle w:val="FootnoteReference"/>
        </w:rPr>
        <w:footnoteRef/>
      </w:r>
      <w:r w:rsidRPr="008E13E3">
        <w:t xml:space="preserve"> </w:t>
      </w:r>
      <w:r w:rsidRPr="008E13E3">
        <w:rPr>
          <w:i/>
          <w:iCs/>
        </w:rPr>
        <w:t>Id</w:t>
      </w:r>
      <w:r w:rsidRPr="008E13E3">
        <w:t>.</w:t>
      </w:r>
    </w:p>
  </w:footnote>
  <w:footnote w:id="121">
    <w:p w14:paraId="721F6AB0" w14:textId="77777777" w:rsidR="00DC0515" w:rsidRPr="008E13E3" w:rsidRDefault="00DC0515" w:rsidP="00DC0515">
      <w:pPr>
        <w:pStyle w:val="FootnoteText"/>
      </w:pPr>
      <w:r w:rsidRPr="008E13E3">
        <w:rPr>
          <w:rStyle w:val="FootnoteReference"/>
        </w:rPr>
        <w:footnoteRef/>
      </w:r>
      <w:r w:rsidRPr="008E13E3">
        <w:t xml:space="preserve"> Rehearing Request at 39-45. </w:t>
      </w:r>
    </w:p>
  </w:footnote>
  <w:footnote w:id="122">
    <w:p w14:paraId="3A4CD3AE" w14:textId="77777777" w:rsidR="00685B42" w:rsidRPr="008E13E3" w:rsidRDefault="00685B42" w:rsidP="00685B42">
      <w:pPr>
        <w:pStyle w:val="FootnoteText"/>
      </w:pPr>
      <w:r w:rsidRPr="008E13E3">
        <w:rPr>
          <w:rStyle w:val="FootnoteReference"/>
        </w:rPr>
        <w:footnoteRef/>
      </w:r>
      <w:r w:rsidRPr="008E13E3">
        <w:t xml:space="preserve"> </w:t>
      </w:r>
      <w:r w:rsidR="00750A9C" w:rsidRPr="008E13E3">
        <w:rPr>
          <w:i/>
          <w:iCs/>
        </w:rPr>
        <w:t>Id.</w:t>
      </w:r>
      <w:r w:rsidRPr="008E13E3">
        <w:t xml:space="preserve"> at 39 (citing 16 U.S.C. </w:t>
      </w:r>
      <w:r w:rsidR="00B74AE8" w:rsidRPr="008E13E3">
        <w:t>§ 8</w:t>
      </w:r>
      <w:r w:rsidRPr="008E13E3">
        <w:t xml:space="preserve">24s(c) (emphasis in original)).  </w:t>
      </w:r>
    </w:p>
  </w:footnote>
  <w:footnote w:id="123">
    <w:p w14:paraId="306189DC" w14:textId="77777777" w:rsidR="00685B42" w:rsidRPr="008E13E3" w:rsidRDefault="00685B42" w:rsidP="00685B42">
      <w:pPr>
        <w:pStyle w:val="FootnoteText"/>
      </w:pPr>
      <w:r w:rsidRPr="008E13E3">
        <w:rPr>
          <w:rStyle w:val="FootnoteReference"/>
        </w:rPr>
        <w:footnoteRef/>
      </w:r>
      <w:r w:rsidRPr="008E13E3">
        <w:t xml:space="preserve"> </w:t>
      </w:r>
      <w:r w:rsidRPr="008E13E3">
        <w:rPr>
          <w:i/>
          <w:iCs/>
        </w:rPr>
        <w:t>Id</w:t>
      </w:r>
      <w:r w:rsidRPr="008E13E3">
        <w:t>.</w:t>
      </w:r>
    </w:p>
  </w:footnote>
  <w:footnote w:id="124">
    <w:p w14:paraId="28F299FC" w14:textId="77777777" w:rsidR="00685B42" w:rsidRPr="008E13E3" w:rsidRDefault="00685B42" w:rsidP="00685B42">
      <w:pPr>
        <w:pStyle w:val="FootnoteText"/>
      </w:pPr>
      <w:r w:rsidRPr="008E13E3">
        <w:rPr>
          <w:rStyle w:val="FootnoteReference"/>
        </w:rPr>
        <w:footnoteRef/>
      </w:r>
      <w:r w:rsidRPr="008E13E3">
        <w:t xml:space="preserve"> </w:t>
      </w:r>
      <w:r w:rsidRPr="008E13E3">
        <w:rPr>
          <w:i/>
          <w:iCs/>
        </w:rPr>
        <w:t>Id</w:t>
      </w:r>
      <w:r w:rsidRPr="008E13E3">
        <w:t>. at 39-40.</w:t>
      </w:r>
    </w:p>
  </w:footnote>
  <w:footnote w:id="125">
    <w:p w14:paraId="7E0A22F2" w14:textId="77777777" w:rsidR="006500F0" w:rsidRPr="008E13E3" w:rsidRDefault="006500F0" w:rsidP="006500F0">
      <w:pPr>
        <w:pStyle w:val="FootnoteText"/>
      </w:pPr>
      <w:r w:rsidRPr="008E13E3">
        <w:rPr>
          <w:rStyle w:val="FootnoteReference"/>
        </w:rPr>
        <w:footnoteRef/>
      </w:r>
      <w:r w:rsidRPr="008E13E3">
        <w:t xml:space="preserve"> </w:t>
      </w:r>
      <w:r w:rsidRPr="008E13E3">
        <w:rPr>
          <w:i/>
          <w:iCs/>
        </w:rPr>
        <w:t>Id.</w:t>
      </w:r>
      <w:r w:rsidRPr="008E13E3">
        <w:t xml:space="preserve"> at 41-42 (citing </w:t>
      </w:r>
      <w:r w:rsidRPr="008E13E3">
        <w:rPr>
          <w:i/>
          <w:iCs/>
        </w:rPr>
        <w:t>Dayton</w:t>
      </w:r>
      <w:r w:rsidRPr="008E13E3">
        <w:t>, 126 F.4th at 1123).</w:t>
      </w:r>
    </w:p>
  </w:footnote>
  <w:footnote w:id="126">
    <w:p w14:paraId="65EBAC47" w14:textId="77777777" w:rsidR="00685B42" w:rsidRPr="008E13E3" w:rsidRDefault="00685B42" w:rsidP="00685B42">
      <w:pPr>
        <w:pStyle w:val="FootnoteText"/>
      </w:pPr>
      <w:r w:rsidRPr="008E13E3">
        <w:rPr>
          <w:rStyle w:val="FootnoteReference"/>
        </w:rPr>
        <w:footnoteRef/>
      </w:r>
      <w:r w:rsidRPr="008E13E3">
        <w:t xml:space="preserve"> </w:t>
      </w:r>
      <w:r w:rsidRPr="008E13E3">
        <w:rPr>
          <w:i/>
          <w:iCs/>
        </w:rPr>
        <w:t>Id</w:t>
      </w:r>
      <w:r w:rsidRPr="008E13E3">
        <w:t xml:space="preserve">. at 40 (citing PG&amp;E Adder Rehearing Order, 187 FERC </w:t>
      </w:r>
      <w:r w:rsidR="00B74AE8" w:rsidRPr="008E13E3">
        <w:t>¶ 6</w:t>
      </w:r>
      <w:r w:rsidRPr="008E13E3">
        <w:t xml:space="preserve">1,167 at </w:t>
      </w:r>
      <w:r w:rsidR="00B74AE8" w:rsidRPr="008E13E3">
        <w:t>P 2</w:t>
      </w:r>
      <w:r w:rsidRPr="008E13E3">
        <w:t>4).</w:t>
      </w:r>
    </w:p>
  </w:footnote>
  <w:footnote w:id="127">
    <w:p w14:paraId="1D3CFE21" w14:textId="77777777" w:rsidR="00685B42" w:rsidRPr="008E13E3" w:rsidRDefault="00685B42" w:rsidP="00685B42">
      <w:pPr>
        <w:pStyle w:val="FootnoteText"/>
      </w:pPr>
      <w:r w:rsidRPr="008E13E3">
        <w:rPr>
          <w:rStyle w:val="FootnoteReference"/>
        </w:rPr>
        <w:footnoteRef/>
      </w:r>
      <w:r w:rsidRPr="008E13E3">
        <w:t xml:space="preserve"> </w:t>
      </w:r>
      <w:r w:rsidRPr="008E13E3">
        <w:rPr>
          <w:i/>
          <w:iCs/>
        </w:rPr>
        <w:t>Id</w:t>
      </w:r>
      <w:r w:rsidRPr="008E13E3">
        <w:t>. at 40-41.</w:t>
      </w:r>
    </w:p>
  </w:footnote>
  <w:footnote w:id="128">
    <w:p w14:paraId="47EE05C4" w14:textId="77777777" w:rsidR="00685B42" w:rsidRPr="008E13E3" w:rsidRDefault="00685B42" w:rsidP="00685B42">
      <w:pPr>
        <w:pStyle w:val="FootnoteText"/>
      </w:pPr>
      <w:r w:rsidRPr="008E13E3">
        <w:rPr>
          <w:rStyle w:val="FootnoteReference"/>
        </w:rPr>
        <w:footnoteRef/>
      </w:r>
      <w:r w:rsidRPr="008E13E3">
        <w:t xml:space="preserve"> </w:t>
      </w:r>
      <w:r w:rsidRPr="008E13E3">
        <w:rPr>
          <w:i/>
          <w:iCs/>
        </w:rPr>
        <w:t>Id</w:t>
      </w:r>
      <w:r w:rsidRPr="008E13E3">
        <w:t xml:space="preserve">. at </w:t>
      </w:r>
      <w:r w:rsidR="00907E04" w:rsidRPr="008E13E3">
        <w:t>43</w:t>
      </w:r>
      <w:r w:rsidRPr="008E13E3">
        <w:t>.</w:t>
      </w:r>
    </w:p>
  </w:footnote>
  <w:footnote w:id="129">
    <w:p w14:paraId="115FF883" w14:textId="77777777" w:rsidR="00A7695F" w:rsidRPr="008E13E3" w:rsidRDefault="00A7695F" w:rsidP="001748EB">
      <w:pPr>
        <w:pStyle w:val="FootnoteText"/>
      </w:pPr>
      <w:r w:rsidRPr="008E13E3">
        <w:rPr>
          <w:rStyle w:val="FootnoteReference"/>
        </w:rPr>
        <w:footnoteRef/>
      </w:r>
      <w:r w:rsidRPr="008E13E3">
        <w:t xml:space="preserve"> </w:t>
      </w:r>
      <w:r w:rsidR="007B5128" w:rsidRPr="008E13E3">
        <w:rPr>
          <w:i/>
        </w:rPr>
        <w:t>Promoting Transmission Inv</w:t>
      </w:r>
      <w:r w:rsidR="00F96C24">
        <w:rPr>
          <w:i/>
        </w:rPr>
        <w:t>.</w:t>
      </w:r>
      <w:r w:rsidR="007B5128" w:rsidRPr="008E13E3">
        <w:rPr>
          <w:i/>
        </w:rPr>
        <w:t xml:space="preserve"> through Pricing Reform</w:t>
      </w:r>
      <w:r w:rsidR="007B5128" w:rsidRPr="008E13E3">
        <w:t xml:space="preserve">, Order No. </w:t>
      </w:r>
      <w:proofErr w:type="gramStart"/>
      <w:r w:rsidR="007B5128" w:rsidRPr="008E13E3">
        <w:t xml:space="preserve">679, </w:t>
      </w:r>
      <w:r w:rsidR="00F96C24">
        <w:t xml:space="preserve">  </w:t>
      </w:r>
      <w:proofErr w:type="gramEnd"/>
      <w:r w:rsidR="00F96C24">
        <w:t xml:space="preserve">       </w:t>
      </w:r>
      <w:r w:rsidR="007B5128" w:rsidRPr="008E13E3">
        <w:t xml:space="preserve">116 FERC ¶ 61,057, </w:t>
      </w:r>
      <w:r w:rsidR="007B5128" w:rsidRPr="008E13E3">
        <w:rPr>
          <w:i/>
        </w:rPr>
        <w:t>order on reh’g</w:t>
      </w:r>
      <w:r w:rsidR="007B5128" w:rsidRPr="008E13E3">
        <w:t xml:space="preserve">, Order No. 679-A, 117 FERC ¶ 61,345 (2006), </w:t>
      </w:r>
      <w:r w:rsidR="007B5128" w:rsidRPr="008E13E3">
        <w:rPr>
          <w:i/>
        </w:rPr>
        <w:t>order on reh’g</w:t>
      </w:r>
      <w:r w:rsidR="007B5128" w:rsidRPr="008E13E3">
        <w:t>, 119 FERC ¶ 61,062 (2007).</w:t>
      </w:r>
    </w:p>
  </w:footnote>
  <w:footnote w:id="130">
    <w:p w14:paraId="29CD77EF" w14:textId="77777777" w:rsidR="00685B42" w:rsidRPr="008E13E3" w:rsidRDefault="00685B42" w:rsidP="00685B42">
      <w:pPr>
        <w:pStyle w:val="FootnoteText"/>
      </w:pPr>
      <w:r w:rsidRPr="008E13E3">
        <w:rPr>
          <w:rStyle w:val="FootnoteReference"/>
        </w:rPr>
        <w:footnoteRef/>
      </w:r>
      <w:r w:rsidRPr="008E13E3">
        <w:t xml:space="preserve"> </w:t>
      </w:r>
      <w:r w:rsidR="0020738C" w:rsidRPr="008E13E3">
        <w:t>Rehearing Request</w:t>
      </w:r>
      <w:r w:rsidRPr="008E13E3">
        <w:t xml:space="preserve"> at </w:t>
      </w:r>
      <w:r w:rsidR="003059DF" w:rsidRPr="008E13E3">
        <w:t>43-44</w:t>
      </w:r>
      <w:r w:rsidR="00A95316" w:rsidRPr="008E13E3">
        <w:t xml:space="preserve"> (citing </w:t>
      </w:r>
      <w:r w:rsidR="00A95316" w:rsidRPr="008E13E3">
        <w:rPr>
          <w:i/>
          <w:iCs/>
        </w:rPr>
        <w:t>Loper Bright Enters. v. Raimondo</w:t>
      </w:r>
      <w:r w:rsidR="00A95316" w:rsidRPr="008E13E3">
        <w:t>, 603 U.S. 369, 395 (2024))</w:t>
      </w:r>
      <w:r w:rsidRPr="008E13E3">
        <w:t>.</w:t>
      </w:r>
    </w:p>
  </w:footnote>
  <w:footnote w:id="131">
    <w:p w14:paraId="4A7EC418" w14:textId="77777777" w:rsidR="00416C29" w:rsidRPr="008E13E3" w:rsidRDefault="00416C29">
      <w:pPr>
        <w:pStyle w:val="FootnoteText"/>
      </w:pPr>
      <w:r w:rsidRPr="008E13E3">
        <w:rPr>
          <w:rStyle w:val="FootnoteReference"/>
        </w:rPr>
        <w:footnoteRef/>
      </w:r>
      <w:r w:rsidRPr="008E13E3">
        <w:t xml:space="preserve"> </w:t>
      </w:r>
      <w:r w:rsidR="00C7708F" w:rsidRPr="008E13E3">
        <w:rPr>
          <w:i/>
          <w:iCs/>
        </w:rPr>
        <w:t>Id.</w:t>
      </w:r>
      <w:r w:rsidR="00C7708F" w:rsidRPr="008E13E3">
        <w:t xml:space="preserve"> (quoting Order No. 679, 116 FERC </w:t>
      </w:r>
      <w:r w:rsidR="00B74AE8" w:rsidRPr="008E13E3">
        <w:t>¶ 6</w:t>
      </w:r>
      <w:r w:rsidR="00C7708F" w:rsidRPr="008E13E3">
        <w:t xml:space="preserve">1,057 at </w:t>
      </w:r>
      <w:r w:rsidR="00B74AE8" w:rsidRPr="008E13E3">
        <w:t>P 3</w:t>
      </w:r>
      <w:r w:rsidR="00C7708F" w:rsidRPr="008E13E3">
        <w:t xml:space="preserve">31 (emphasis added)). </w:t>
      </w:r>
    </w:p>
  </w:footnote>
  <w:footnote w:id="132">
    <w:p w14:paraId="7C35B65D" w14:textId="77777777" w:rsidR="00C7708F" w:rsidRPr="008E13E3" w:rsidRDefault="00C7708F">
      <w:pPr>
        <w:pStyle w:val="FootnoteText"/>
      </w:pPr>
      <w:r w:rsidRPr="008E13E3">
        <w:rPr>
          <w:rStyle w:val="FootnoteReference"/>
        </w:rPr>
        <w:footnoteRef/>
      </w:r>
      <w:r w:rsidRPr="008E13E3">
        <w:t xml:space="preserve"> </w:t>
      </w:r>
      <w:r w:rsidR="00BE164A" w:rsidRPr="008E13E3">
        <w:rPr>
          <w:i/>
          <w:iCs/>
        </w:rPr>
        <w:t>Id.</w:t>
      </w:r>
      <w:r w:rsidR="00BE164A" w:rsidRPr="008E13E3">
        <w:t xml:space="preserve"> (quoting Order No. 679, 116 FERC </w:t>
      </w:r>
      <w:r w:rsidR="00B74AE8" w:rsidRPr="008E13E3">
        <w:t>¶ 6</w:t>
      </w:r>
      <w:r w:rsidR="00BE164A" w:rsidRPr="008E13E3">
        <w:t xml:space="preserve">1,057 at </w:t>
      </w:r>
      <w:r w:rsidR="00B74AE8" w:rsidRPr="008E13E3">
        <w:t>P 3</w:t>
      </w:r>
      <w:r w:rsidR="00BE164A" w:rsidRPr="008E13E3">
        <w:t>16).</w:t>
      </w:r>
    </w:p>
  </w:footnote>
  <w:footnote w:id="133">
    <w:p w14:paraId="33A21256" w14:textId="77777777" w:rsidR="00C7708F" w:rsidRPr="008E13E3" w:rsidRDefault="00C7708F">
      <w:pPr>
        <w:pStyle w:val="FootnoteText"/>
      </w:pPr>
      <w:r w:rsidRPr="008E13E3">
        <w:rPr>
          <w:rStyle w:val="FootnoteReference"/>
        </w:rPr>
        <w:footnoteRef/>
      </w:r>
      <w:r w:rsidRPr="008E13E3">
        <w:t xml:space="preserve"> </w:t>
      </w:r>
      <w:r w:rsidR="00BE164A" w:rsidRPr="008E13E3">
        <w:rPr>
          <w:i/>
          <w:iCs/>
        </w:rPr>
        <w:t>Id.</w:t>
      </w:r>
      <w:r w:rsidR="00BE164A" w:rsidRPr="008E13E3">
        <w:t xml:space="preserve"> at 44-45. </w:t>
      </w:r>
    </w:p>
  </w:footnote>
  <w:footnote w:id="134">
    <w:p w14:paraId="6BA62D27" w14:textId="77777777" w:rsidR="00C7708F" w:rsidRPr="008E13E3" w:rsidRDefault="00C7708F">
      <w:pPr>
        <w:pStyle w:val="FootnoteText"/>
      </w:pPr>
      <w:r w:rsidRPr="008E13E3">
        <w:rPr>
          <w:rStyle w:val="FootnoteReference"/>
        </w:rPr>
        <w:footnoteRef/>
      </w:r>
      <w:r w:rsidRPr="008E13E3">
        <w:t xml:space="preserve"> </w:t>
      </w:r>
      <w:r w:rsidR="00BC7B38" w:rsidRPr="008E13E3">
        <w:rPr>
          <w:i/>
          <w:iCs/>
        </w:rPr>
        <w:t>Id.</w:t>
      </w:r>
      <w:r w:rsidR="00BC7B38" w:rsidRPr="008E13E3">
        <w:t xml:space="preserve"> at 45 (quoting </w:t>
      </w:r>
      <w:r w:rsidR="00BC7B38" w:rsidRPr="008E13E3">
        <w:rPr>
          <w:i/>
          <w:iCs/>
        </w:rPr>
        <w:t>Incentive Ratemaking for Interstate Nat</w:t>
      </w:r>
      <w:r w:rsidR="00BC7B38">
        <w:rPr>
          <w:i/>
          <w:iCs/>
        </w:rPr>
        <w:t>.</w:t>
      </w:r>
      <w:r w:rsidR="00BC7B38" w:rsidRPr="008E13E3">
        <w:rPr>
          <w:i/>
          <w:iCs/>
        </w:rPr>
        <w:t xml:space="preserve"> Gas Pipelines, Oil Pipelines</w:t>
      </w:r>
      <w:r w:rsidR="00E742D9">
        <w:rPr>
          <w:i/>
          <w:iCs/>
        </w:rPr>
        <w:t xml:space="preserve">, </w:t>
      </w:r>
      <w:r w:rsidR="00BC7B38">
        <w:rPr>
          <w:i/>
          <w:iCs/>
        </w:rPr>
        <w:t>&amp;</w:t>
      </w:r>
      <w:r w:rsidR="00BC7B38" w:rsidRPr="008E13E3">
        <w:rPr>
          <w:i/>
          <w:iCs/>
        </w:rPr>
        <w:t xml:space="preserve"> Elec</w:t>
      </w:r>
      <w:r w:rsidR="00BC7B38">
        <w:rPr>
          <w:i/>
          <w:iCs/>
        </w:rPr>
        <w:t>.</w:t>
      </w:r>
      <w:r w:rsidR="00BC7B38" w:rsidRPr="008E13E3">
        <w:rPr>
          <w:i/>
          <w:iCs/>
        </w:rPr>
        <w:t xml:space="preserve"> Utils</w:t>
      </w:r>
      <w:r w:rsidR="00BC7B38">
        <w:rPr>
          <w:i/>
          <w:iCs/>
        </w:rPr>
        <w:t>.</w:t>
      </w:r>
      <w:r w:rsidR="00BC7B38" w:rsidRPr="008E13E3">
        <w:t>, 61 FERC ¶ 61,168</w:t>
      </w:r>
      <w:r w:rsidR="00BC7B38">
        <w:t>,</w:t>
      </w:r>
      <w:r w:rsidR="00BC7B38" w:rsidRPr="008E13E3">
        <w:t xml:space="preserve"> at 61,589 (1992)).</w:t>
      </w:r>
    </w:p>
  </w:footnote>
  <w:footnote w:id="135">
    <w:p w14:paraId="611F2F0C" w14:textId="77777777" w:rsidR="00685B42" w:rsidRPr="008E13E3" w:rsidRDefault="00685B42" w:rsidP="00685B42">
      <w:pPr>
        <w:pStyle w:val="FootnoteText"/>
      </w:pPr>
      <w:r w:rsidRPr="008E13E3">
        <w:rPr>
          <w:rStyle w:val="FootnoteReference"/>
        </w:rPr>
        <w:footnoteRef/>
      </w:r>
      <w:r w:rsidRPr="008E13E3">
        <w:t xml:space="preserve"> </w:t>
      </w:r>
      <w:r w:rsidRPr="008E13E3">
        <w:rPr>
          <w:i/>
          <w:iCs/>
        </w:rPr>
        <w:t>Id</w:t>
      </w:r>
      <w:r w:rsidRPr="008E13E3">
        <w:t xml:space="preserve">. at </w:t>
      </w:r>
      <w:r w:rsidR="008F177E" w:rsidRPr="008E13E3">
        <w:t>45</w:t>
      </w:r>
      <w:r w:rsidRPr="008E13E3">
        <w:t>.</w:t>
      </w:r>
    </w:p>
  </w:footnote>
  <w:footnote w:id="136">
    <w:p w14:paraId="045CBF32" w14:textId="77777777" w:rsidR="00F11D65" w:rsidRPr="008E13E3" w:rsidRDefault="00F11D65" w:rsidP="00F11D65">
      <w:pPr>
        <w:pStyle w:val="FootnoteText"/>
      </w:pPr>
      <w:r w:rsidRPr="008E13E3">
        <w:rPr>
          <w:rStyle w:val="FootnoteReference"/>
        </w:rPr>
        <w:footnoteRef/>
      </w:r>
      <w:r w:rsidRPr="008E13E3">
        <w:t xml:space="preserve"> 16 U.S.C. </w:t>
      </w:r>
      <w:r w:rsidR="00B74AE8" w:rsidRPr="008E13E3">
        <w:t>§ 8</w:t>
      </w:r>
      <w:r w:rsidRPr="008E13E3">
        <w:t xml:space="preserve">24s(c). </w:t>
      </w:r>
    </w:p>
  </w:footnote>
  <w:footnote w:id="137">
    <w:p w14:paraId="751FA0DA" w14:textId="77777777" w:rsidR="00F11D65" w:rsidRPr="008E13E3" w:rsidRDefault="00F11D65" w:rsidP="00F11D65">
      <w:pPr>
        <w:pStyle w:val="FootnoteText"/>
      </w:pPr>
      <w:r w:rsidRPr="008E13E3">
        <w:rPr>
          <w:rStyle w:val="FootnoteReference"/>
        </w:rPr>
        <w:footnoteRef/>
      </w:r>
      <w:r w:rsidRPr="008E13E3">
        <w:t xml:space="preserve"> 126 F.4th </w:t>
      </w:r>
      <w:r w:rsidR="00456D8D" w:rsidRPr="008E13E3">
        <w:t>at</w:t>
      </w:r>
      <w:r w:rsidRPr="008E13E3">
        <w:t xml:space="preserve"> 1123 (citing </w:t>
      </w:r>
      <w:r w:rsidRPr="008E13E3">
        <w:rPr>
          <w:i/>
          <w:iCs/>
        </w:rPr>
        <w:t>Loper Bright</w:t>
      </w:r>
      <w:r w:rsidRPr="008E13E3">
        <w:t xml:space="preserve">, 603 U.S. </w:t>
      </w:r>
      <w:r w:rsidR="003743FE" w:rsidRPr="008E13E3">
        <w:t xml:space="preserve">at </w:t>
      </w:r>
      <w:r w:rsidRPr="008E13E3">
        <w:t>400).</w:t>
      </w:r>
    </w:p>
  </w:footnote>
  <w:footnote w:id="138">
    <w:p w14:paraId="596AB42B" w14:textId="77777777" w:rsidR="00F11D65" w:rsidRPr="008E13E3" w:rsidRDefault="00F11D65" w:rsidP="00F11D65">
      <w:pPr>
        <w:pStyle w:val="FootnoteText"/>
      </w:pPr>
      <w:r w:rsidRPr="008E13E3">
        <w:rPr>
          <w:rStyle w:val="FootnoteReference"/>
        </w:rPr>
        <w:footnoteRef/>
      </w:r>
      <w:r w:rsidRPr="008E13E3">
        <w:t xml:space="preserve"> </w:t>
      </w:r>
      <w:r w:rsidRPr="008E13E3">
        <w:rPr>
          <w:i/>
          <w:iCs/>
        </w:rPr>
        <w:t>Id</w:t>
      </w:r>
      <w:r w:rsidRPr="008E13E3">
        <w:t xml:space="preserve">. (citing </w:t>
      </w:r>
      <w:r w:rsidRPr="008E13E3">
        <w:rPr>
          <w:i/>
          <w:iCs/>
        </w:rPr>
        <w:t>Incentive</w:t>
      </w:r>
      <w:r w:rsidRPr="008E13E3">
        <w:t>, Black</w:t>
      </w:r>
      <w:r w:rsidR="00B74AE8" w:rsidRPr="008E13E3">
        <w:t>’</w:t>
      </w:r>
      <w:r w:rsidRPr="008E13E3">
        <w:t>s Law Dictionary (12th ed. 2024)).</w:t>
      </w:r>
    </w:p>
  </w:footnote>
  <w:footnote w:id="139">
    <w:p w14:paraId="6D8EC1E4" w14:textId="77777777" w:rsidR="00F11D65" w:rsidRPr="008E13E3" w:rsidRDefault="00F11D65" w:rsidP="00F11D65">
      <w:pPr>
        <w:pStyle w:val="FootnoteText"/>
      </w:pPr>
      <w:r w:rsidRPr="008E13E3">
        <w:rPr>
          <w:rStyle w:val="FootnoteReference"/>
        </w:rPr>
        <w:footnoteRef/>
      </w:r>
      <w:r w:rsidRPr="008E13E3">
        <w:t xml:space="preserve"> </w:t>
      </w:r>
      <w:r w:rsidRPr="008E13E3">
        <w:rPr>
          <w:i/>
          <w:iCs/>
        </w:rPr>
        <w:t>Id</w:t>
      </w:r>
      <w:r w:rsidRPr="008E13E3">
        <w:t xml:space="preserve">. (citing </w:t>
      </w:r>
      <w:r w:rsidRPr="008E13E3">
        <w:rPr>
          <w:i/>
          <w:iCs/>
        </w:rPr>
        <w:t>CPUC I</w:t>
      </w:r>
      <w:r w:rsidRPr="008E13E3">
        <w:t>, 879 F.3d at 974 (“An incentive cannot ‘induce’ behavior that is already legally mandated.”)).</w:t>
      </w:r>
    </w:p>
  </w:footnote>
  <w:footnote w:id="140">
    <w:p w14:paraId="18B133BA" w14:textId="77777777" w:rsidR="00F11D65" w:rsidRPr="008E13E3" w:rsidRDefault="00F11D65" w:rsidP="00F11D65">
      <w:pPr>
        <w:pStyle w:val="FootnoteText"/>
      </w:pPr>
      <w:r w:rsidRPr="008E13E3">
        <w:rPr>
          <w:rStyle w:val="FootnoteReference"/>
        </w:rPr>
        <w:footnoteRef/>
      </w:r>
      <w:r w:rsidRPr="008E13E3">
        <w:t xml:space="preserve"> </w:t>
      </w:r>
      <w:r w:rsidRPr="008E13E3">
        <w:rPr>
          <w:i/>
          <w:iCs/>
        </w:rPr>
        <w:t>Id</w:t>
      </w:r>
      <w:r w:rsidRPr="008E13E3">
        <w:t>. at 1125</w:t>
      </w:r>
      <w:r w:rsidR="00456D8D" w:rsidRPr="008E13E3">
        <w:t>.</w:t>
      </w:r>
    </w:p>
  </w:footnote>
  <w:footnote w:id="141">
    <w:p w14:paraId="611A2FA0" w14:textId="77777777" w:rsidR="00CA746D" w:rsidRDefault="00CA746D" w:rsidP="00CA746D">
      <w:pPr>
        <w:pStyle w:val="FootnoteText"/>
      </w:pPr>
      <w:r>
        <w:rPr>
          <w:rStyle w:val="FootnoteReference"/>
        </w:rPr>
        <w:footnoteRef/>
      </w:r>
      <w:r>
        <w:t xml:space="preserve"> Order No. 679-A</w:t>
      </w:r>
      <w:r w:rsidRPr="00CA746D">
        <w:t>, 117 FERC ¶ 61,345</w:t>
      </w:r>
      <w:r>
        <w:t xml:space="preserve"> at P 87.  </w:t>
      </w:r>
    </w:p>
  </w:footnote>
  <w:footnote w:id="142">
    <w:p w14:paraId="44A1EAC9" w14:textId="77777777" w:rsidR="007C4067" w:rsidRPr="00013D86" w:rsidRDefault="007C4067" w:rsidP="007C4067">
      <w:pPr>
        <w:pStyle w:val="FootnoteText"/>
      </w:pPr>
      <w:r>
        <w:rPr>
          <w:rStyle w:val="FootnoteReference"/>
        </w:rPr>
        <w:footnoteRef/>
      </w:r>
      <w:r>
        <w:t xml:space="preserve"> </w:t>
      </w:r>
      <w:r w:rsidRPr="002D5D88">
        <w:t xml:space="preserve">126 F.4th </w:t>
      </w:r>
      <w:r>
        <w:t>at 1123.</w:t>
      </w:r>
    </w:p>
  </w:footnote>
  <w:footnote w:id="143">
    <w:p w14:paraId="12B8FCCF" w14:textId="77777777" w:rsidR="007C4067" w:rsidRPr="00013D86" w:rsidRDefault="007C4067" w:rsidP="007C4067">
      <w:pPr>
        <w:pStyle w:val="FootnoteText"/>
      </w:pPr>
      <w:r>
        <w:rPr>
          <w:rStyle w:val="FootnoteReference"/>
        </w:rPr>
        <w:footnoteRef/>
      </w:r>
      <w:r>
        <w:t xml:space="preserve"> </w:t>
      </w:r>
      <w:r>
        <w:rPr>
          <w:i/>
          <w:iCs/>
        </w:rPr>
        <w:t>Id.</w:t>
      </w:r>
      <w:r>
        <w:t xml:space="preserve"> at 1123-1125.</w:t>
      </w:r>
    </w:p>
  </w:footnote>
  <w:footnote w:id="144">
    <w:p w14:paraId="5DC7583B" w14:textId="77777777" w:rsidR="0027233B" w:rsidRPr="008E13E3" w:rsidRDefault="0027233B" w:rsidP="0027233B">
      <w:pPr>
        <w:pStyle w:val="FootnoteText"/>
      </w:pPr>
      <w:r w:rsidRPr="008E13E3">
        <w:rPr>
          <w:rStyle w:val="FootnoteReference"/>
        </w:rPr>
        <w:footnoteRef/>
      </w:r>
      <w:r w:rsidRPr="008E13E3">
        <w:t xml:space="preserve"> </w:t>
      </w:r>
      <w:r w:rsidRPr="008E13E3">
        <w:rPr>
          <w:i/>
          <w:iCs/>
        </w:rPr>
        <w:t>Id</w:t>
      </w:r>
      <w:r w:rsidRPr="008E13E3">
        <w:t>.</w:t>
      </w:r>
      <w:r w:rsidR="00C04C1F">
        <w:t xml:space="preserve"> at 1125.</w:t>
      </w:r>
    </w:p>
  </w:footnote>
  <w:footnote w:id="145">
    <w:p w14:paraId="4390B0C4" w14:textId="77777777" w:rsidR="00DA2106" w:rsidRPr="008E13E3" w:rsidRDefault="00DA2106">
      <w:pPr>
        <w:pStyle w:val="FootnoteText"/>
      </w:pPr>
      <w:r w:rsidRPr="008E13E3">
        <w:rPr>
          <w:rStyle w:val="FootnoteReference"/>
        </w:rPr>
        <w:footnoteRef/>
      </w:r>
      <w:r w:rsidRPr="008E13E3">
        <w:t xml:space="preserve"> </w:t>
      </w:r>
      <w:r w:rsidRPr="008E13E3">
        <w:rPr>
          <w:i/>
          <w:iCs/>
        </w:rPr>
        <w:t>Id.</w:t>
      </w:r>
    </w:p>
  </w:footnote>
  <w:footnote w:id="146">
    <w:p w14:paraId="20DA272C" w14:textId="77777777" w:rsidR="007C4067" w:rsidRPr="00013D86" w:rsidRDefault="007C4067" w:rsidP="007C4067">
      <w:pPr>
        <w:pStyle w:val="FootnoteText"/>
      </w:pPr>
      <w:r>
        <w:rPr>
          <w:rStyle w:val="FootnoteReference"/>
        </w:rPr>
        <w:footnoteRef/>
      </w:r>
      <w:r>
        <w:t xml:space="preserve"> </w:t>
      </w:r>
      <w:r>
        <w:rPr>
          <w:i/>
          <w:iCs/>
        </w:rPr>
        <w:t>Id.</w:t>
      </w:r>
    </w:p>
  </w:footnote>
  <w:footnote w:id="147">
    <w:p w14:paraId="6C1D7FE6" w14:textId="77777777" w:rsidR="006A2E17" w:rsidRPr="00013D86" w:rsidRDefault="006A2E17" w:rsidP="006A2E17">
      <w:pPr>
        <w:pStyle w:val="FootnoteText"/>
      </w:pPr>
      <w:r>
        <w:rPr>
          <w:rStyle w:val="FootnoteReference"/>
        </w:rPr>
        <w:footnoteRef/>
      </w:r>
      <w:r>
        <w:t xml:space="preserve"> </w:t>
      </w:r>
      <w:r>
        <w:rPr>
          <w:i/>
          <w:iCs/>
        </w:rPr>
        <w:t>Id.</w:t>
      </w:r>
      <w:r>
        <w:t xml:space="preserve"> </w:t>
      </w:r>
      <w:r w:rsidRPr="00A6517C">
        <w:t>at 1125</w:t>
      </w:r>
      <w:r w:rsidRPr="00D63AE8">
        <w:t>-26.</w:t>
      </w:r>
    </w:p>
  </w:footnote>
  <w:footnote w:id="148">
    <w:p w14:paraId="42C08E3E" w14:textId="77777777" w:rsidR="006A2E17" w:rsidRPr="009E64DC" w:rsidRDefault="006A2E17" w:rsidP="006A2E17">
      <w:pPr>
        <w:pStyle w:val="FootnoteText"/>
      </w:pPr>
      <w:r>
        <w:rPr>
          <w:rStyle w:val="FootnoteReference"/>
        </w:rPr>
        <w:footnoteRef/>
      </w:r>
      <w:r>
        <w:t xml:space="preserve"> </w:t>
      </w:r>
      <w:r>
        <w:rPr>
          <w:i/>
          <w:iCs/>
        </w:rPr>
        <w:t>Id.</w:t>
      </w:r>
      <w:r>
        <w:t xml:space="preserve"> at 1126 (citing 16 U.S.C. </w:t>
      </w:r>
      <w:r w:rsidRPr="00C326D6">
        <w:t>§</w:t>
      </w:r>
      <w:r>
        <w:t xml:space="preserve"> 824s(b)(1)-(2)).</w:t>
      </w:r>
    </w:p>
  </w:footnote>
  <w:footnote w:id="149">
    <w:p w14:paraId="701DCBBE" w14:textId="77777777" w:rsidR="006A2E17" w:rsidRPr="00D5797E" w:rsidRDefault="006A2E17" w:rsidP="006A2E17">
      <w:pPr>
        <w:pStyle w:val="FootnoteText"/>
      </w:pPr>
      <w:r>
        <w:rPr>
          <w:rStyle w:val="FootnoteReference"/>
        </w:rPr>
        <w:footnoteRef/>
      </w:r>
      <w:r>
        <w:t xml:space="preserve"> </w:t>
      </w:r>
      <w:r>
        <w:rPr>
          <w:i/>
          <w:iCs/>
        </w:rPr>
        <w:t>Id.</w:t>
      </w:r>
      <w:r>
        <w:t xml:space="preserve"> (citing </w:t>
      </w:r>
      <w:r>
        <w:rPr>
          <w:i/>
          <w:iCs/>
        </w:rPr>
        <w:t>inter alia</w:t>
      </w:r>
      <w:r>
        <w:t xml:space="preserve"> Order No. 679-A</w:t>
      </w:r>
      <w:r w:rsidR="001C6AFB">
        <w:t xml:space="preserve">, </w:t>
      </w:r>
      <w:r w:rsidR="001C6AFB" w:rsidRPr="00CA746D">
        <w:t>117 FERC ¶ 61,345</w:t>
      </w:r>
      <w:r>
        <w:t xml:space="preserve"> at P 87).    </w:t>
      </w:r>
    </w:p>
  </w:footnote>
  <w:footnote w:id="150">
    <w:p w14:paraId="421E3574" w14:textId="77777777" w:rsidR="0027233B" w:rsidRPr="008E13E3" w:rsidRDefault="0027233B" w:rsidP="0027233B">
      <w:pPr>
        <w:pStyle w:val="FootnoteText"/>
      </w:pPr>
      <w:r w:rsidRPr="008E13E3">
        <w:rPr>
          <w:rStyle w:val="FootnoteReference"/>
        </w:rPr>
        <w:footnoteRef/>
      </w:r>
      <w:r w:rsidRPr="008E13E3">
        <w:t xml:space="preserve"> </w:t>
      </w:r>
      <w:r w:rsidR="00D63AE8">
        <w:rPr>
          <w:i/>
          <w:iCs/>
        </w:rPr>
        <w:t>Id.</w:t>
      </w:r>
      <w:r w:rsidR="00D63AE8">
        <w:t xml:space="preserve"> </w:t>
      </w:r>
    </w:p>
  </w:footnote>
  <w:footnote w:id="151">
    <w:p w14:paraId="1BF57FAE" w14:textId="77777777" w:rsidR="0080199C" w:rsidRPr="008E13E3" w:rsidRDefault="0080199C" w:rsidP="0080199C">
      <w:pPr>
        <w:pStyle w:val="FootnoteText"/>
      </w:pPr>
      <w:r w:rsidRPr="008E13E3">
        <w:rPr>
          <w:rStyle w:val="FootnoteReference"/>
        </w:rPr>
        <w:footnoteRef/>
      </w:r>
      <w:r w:rsidRPr="008E13E3">
        <w:t xml:space="preserve"> </w:t>
      </w:r>
      <w:r w:rsidRPr="008E13E3">
        <w:rPr>
          <w:i/>
          <w:iCs/>
        </w:rPr>
        <w:t>See</w:t>
      </w:r>
      <w:r w:rsidRPr="008E13E3">
        <w:t xml:space="preserve"> </w:t>
      </w:r>
      <w:r w:rsidRPr="008E13E3">
        <w:rPr>
          <w:i/>
          <w:iCs/>
        </w:rPr>
        <w:t>CPUC I</w:t>
      </w:r>
      <w:r w:rsidRPr="008E13E3">
        <w:t xml:space="preserve">, 879 F.3d at 974, 977; </w:t>
      </w:r>
      <w:r w:rsidRPr="008E13E3">
        <w:rPr>
          <w:i/>
          <w:iCs/>
        </w:rPr>
        <w:t>see also</w:t>
      </w:r>
      <w:r w:rsidRPr="008E13E3">
        <w:rPr>
          <w:iCs/>
        </w:rPr>
        <w:t xml:space="preserve"> </w:t>
      </w:r>
      <w:r w:rsidR="004C3B1B" w:rsidRPr="008E13E3">
        <w:t xml:space="preserve">PG&amp;E Adder Rehearing </w:t>
      </w:r>
      <w:proofErr w:type="gramStart"/>
      <w:r w:rsidR="004C3B1B" w:rsidRPr="008E13E3">
        <w:t>Order</w:t>
      </w:r>
      <w:r w:rsidRPr="008E13E3">
        <w:t xml:space="preserve">, </w:t>
      </w:r>
      <w:r w:rsidR="00801794">
        <w:t xml:space="preserve">  </w:t>
      </w:r>
      <w:proofErr w:type="gramEnd"/>
      <w:r w:rsidRPr="008E13E3">
        <w:t xml:space="preserve">187 FERC </w:t>
      </w:r>
      <w:r w:rsidR="00B74AE8" w:rsidRPr="008E13E3">
        <w:t>¶ 6</w:t>
      </w:r>
      <w:r w:rsidRPr="008E13E3">
        <w:t xml:space="preserve">1,167 at </w:t>
      </w:r>
      <w:r w:rsidR="00B74AE8" w:rsidRPr="008E13E3">
        <w:t>P 2</w:t>
      </w:r>
      <w:r w:rsidRPr="008E13E3">
        <w:t>5.</w:t>
      </w:r>
    </w:p>
  </w:footnote>
  <w:footnote w:id="152">
    <w:p w14:paraId="342FF633" w14:textId="77777777" w:rsidR="00E952E9" w:rsidRPr="008E13E3" w:rsidRDefault="00E952E9" w:rsidP="00E952E9">
      <w:pPr>
        <w:pStyle w:val="FootnoteText"/>
      </w:pPr>
      <w:r w:rsidRPr="008E13E3">
        <w:rPr>
          <w:rStyle w:val="FootnoteReference"/>
        </w:rPr>
        <w:footnoteRef/>
      </w:r>
      <w:r w:rsidRPr="008E13E3">
        <w:t xml:space="preserve"> </w:t>
      </w:r>
      <w:r w:rsidRPr="008E13E3">
        <w:rPr>
          <w:i/>
          <w:iCs/>
        </w:rPr>
        <w:t>See</w:t>
      </w:r>
      <w:r w:rsidRPr="008E13E3">
        <w:rPr>
          <w:iCs/>
        </w:rPr>
        <w:t xml:space="preserve"> </w:t>
      </w:r>
      <w:r w:rsidR="00A266B0" w:rsidRPr="008E13E3">
        <w:t>Rehearing Request at</w:t>
      </w:r>
      <w:r w:rsidR="004B19F3" w:rsidRPr="008E13E3">
        <w:t xml:space="preserve"> </w:t>
      </w:r>
      <w:r w:rsidR="00EE3CB1" w:rsidRPr="008E13E3">
        <w:t>44</w:t>
      </w:r>
      <w:r w:rsidRPr="008E13E3">
        <w:t>.</w:t>
      </w:r>
    </w:p>
  </w:footnote>
  <w:footnote w:id="153">
    <w:p w14:paraId="2F04E103" w14:textId="77777777" w:rsidR="00E952E9" w:rsidRPr="008E13E3" w:rsidRDefault="00E952E9" w:rsidP="00E952E9">
      <w:pPr>
        <w:pStyle w:val="FootnoteText"/>
      </w:pPr>
      <w:r w:rsidRPr="008E13E3">
        <w:rPr>
          <w:rStyle w:val="FootnoteReference"/>
        </w:rPr>
        <w:footnoteRef/>
      </w:r>
      <w:r w:rsidRPr="008E13E3">
        <w:t xml:space="preserve"> Order No. 679, 116 FERC </w:t>
      </w:r>
      <w:r w:rsidR="00B74AE8" w:rsidRPr="008E13E3">
        <w:t>¶ 6</w:t>
      </w:r>
      <w:r w:rsidRPr="008E13E3">
        <w:t xml:space="preserve">1,057 at </w:t>
      </w:r>
      <w:r w:rsidR="00323813" w:rsidRPr="008E13E3">
        <w:t>P</w:t>
      </w:r>
      <w:r w:rsidR="00B74AE8" w:rsidRPr="008E13E3">
        <w:t>P 3</w:t>
      </w:r>
      <w:r w:rsidRPr="008E13E3">
        <w:t>16</w:t>
      </w:r>
      <w:r w:rsidR="00323813" w:rsidRPr="008E13E3">
        <w:t>, 326</w:t>
      </w:r>
      <w:r w:rsidRPr="008E13E3">
        <w:t>.</w:t>
      </w:r>
    </w:p>
  </w:footnote>
  <w:footnote w:id="154">
    <w:p w14:paraId="69390BCD" w14:textId="77777777" w:rsidR="0070645B" w:rsidRPr="008E13E3" w:rsidRDefault="0070645B" w:rsidP="0070645B">
      <w:pPr>
        <w:pStyle w:val="FootnoteText"/>
      </w:pPr>
      <w:r w:rsidRPr="008E13E3">
        <w:rPr>
          <w:rStyle w:val="FootnoteReference"/>
        </w:rPr>
        <w:footnoteRef/>
      </w:r>
      <w:r w:rsidR="002D32E8" w:rsidRPr="008E13E3">
        <w:t xml:space="preserve"> </w:t>
      </w:r>
      <w:r w:rsidR="002D32E8" w:rsidRPr="008E13E3">
        <w:rPr>
          <w:i/>
          <w:iCs/>
        </w:rPr>
        <w:t>Dayton</w:t>
      </w:r>
      <w:r w:rsidR="002D32E8" w:rsidRPr="008E13E3">
        <w:t>, 126 F.4th</w:t>
      </w:r>
      <w:r w:rsidRPr="008E13E3">
        <w:t xml:space="preserve"> at 1123.</w:t>
      </w:r>
    </w:p>
  </w:footnote>
  <w:footnote w:id="155">
    <w:p w14:paraId="4C869DE6" w14:textId="77777777" w:rsidR="00D132D8" w:rsidRPr="008E13E3" w:rsidRDefault="00D132D8">
      <w:pPr>
        <w:pStyle w:val="FootnoteText"/>
      </w:pPr>
      <w:r w:rsidRPr="008E13E3">
        <w:rPr>
          <w:rStyle w:val="FootnoteReference"/>
        </w:rPr>
        <w:footnoteRef/>
      </w:r>
      <w:r w:rsidRPr="008E13E3">
        <w:t xml:space="preserve"> 186 FERC ¶ 61,143 (2024).</w:t>
      </w:r>
    </w:p>
  </w:footnote>
  <w:footnote w:id="156">
    <w:p w14:paraId="63646601" w14:textId="77777777" w:rsidR="00927EEE" w:rsidRPr="008E13E3" w:rsidRDefault="00927EEE" w:rsidP="00927EEE">
      <w:pPr>
        <w:pStyle w:val="FootnoteText"/>
      </w:pPr>
      <w:r w:rsidRPr="008E13E3">
        <w:rPr>
          <w:rStyle w:val="FootnoteReference"/>
        </w:rPr>
        <w:footnoteRef/>
      </w:r>
      <w:r w:rsidRPr="008E13E3">
        <w:t xml:space="preserve"> Rehearing Request at </w:t>
      </w:r>
      <w:r w:rsidR="00B47D28" w:rsidRPr="008E13E3">
        <w:t>45-46</w:t>
      </w:r>
      <w:r w:rsidR="002D7BE5" w:rsidRPr="008E13E3">
        <w:t xml:space="preserve"> </w:t>
      </w:r>
      <w:r w:rsidR="0007605F" w:rsidRPr="008E13E3">
        <w:t xml:space="preserve">(citing </w:t>
      </w:r>
      <w:proofErr w:type="spellStart"/>
      <w:r w:rsidR="00D132D8" w:rsidRPr="008E13E3">
        <w:rPr>
          <w:i/>
          <w:iCs/>
        </w:rPr>
        <w:t>Viridon</w:t>
      </w:r>
      <w:proofErr w:type="spellEnd"/>
      <w:r w:rsidR="00D132D8" w:rsidRPr="008E13E3">
        <w:t xml:space="preserve">, </w:t>
      </w:r>
      <w:r w:rsidR="009C4AA2" w:rsidRPr="008E13E3">
        <w:t xml:space="preserve">186 FERC ¶ 61,143 at PP </w:t>
      </w:r>
      <w:proofErr w:type="gramStart"/>
      <w:r w:rsidR="009C4AA2" w:rsidRPr="008E13E3">
        <w:t xml:space="preserve">54, </w:t>
      </w:r>
      <w:r w:rsidR="00801794">
        <w:t xml:space="preserve">  </w:t>
      </w:r>
      <w:proofErr w:type="gramEnd"/>
      <w:r w:rsidR="00801794">
        <w:t xml:space="preserve">  </w:t>
      </w:r>
      <w:r w:rsidR="009C4AA2" w:rsidRPr="008E13E3">
        <w:t>56-57)</w:t>
      </w:r>
      <w:r w:rsidRPr="008E13E3">
        <w:t>.</w:t>
      </w:r>
    </w:p>
  </w:footnote>
  <w:footnote w:id="157">
    <w:p w14:paraId="1DAA3252" w14:textId="77777777" w:rsidR="00927EEE" w:rsidRPr="008E13E3" w:rsidRDefault="00927EEE" w:rsidP="00927EEE">
      <w:pPr>
        <w:pStyle w:val="FootnoteText"/>
      </w:pPr>
      <w:r w:rsidRPr="008E13E3">
        <w:rPr>
          <w:rStyle w:val="FootnoteReference"/>
        </w:rPr>
        <w:footnoteRef/>
      </w:r>
      <w:r w:rsidRPr="008E13E3">
        <w:t xml:space="preserve"> </w:t>
      </w:r>
      <w:r w:rsidRPr="008E13E3">
        <w:rPr>
          <w:i/>
          <w:iCs/>
        </w:rPr>
        <w:t>Id</w:t>
      </w:r>
      <w:r w:rsidRPr="008E13E3">
        <w:t xml:space="preserve">. </w:t>
      </w:r>
      <w:r w:rsidR="00B47D28" w:rsidRPr="008E13E3">
        <w:t>at 46</w:t>
      </w:r>
      <w:r w:rsidRPr="008E13E3">
        <w:t xml:space="preserve"> (citing </w:t>
      </w:r>
      <w:r w:rsidRPr="008E13E3">
        <w:rPr>
          <w:i/>
          <w:iCs/>
        </w:rPr>
        <w:t>Citizens S-Line Transmission</w:t>
      </w:r>
      <w:r w:rsidRPr="008E13E3">
        <w:t xml:space="preserve">, </w:t>
      </w:r>
      <w:r w:rsidR="00B74AE8" w:rsidRPr="008E13E3">
        <w:t>178 FERC ¶ 61,067, at P 1</w:t>
      </w:r>
      <w:r w:rsidRPr="008E13E3">
        <w:t xml:space="preserve">6 (2022); </w:t>
      </w:r>
      <w:r w:rsidRPr="008E13E3">
        <w:rPr>
          <w:i/>
          <w:iCs/>
        </w:rPr>
        <w:t>Morongo Transmission LLC</w:t>
      </w:r>
      <w:r w:rsidRPr="008E13E3">
        <w:rPr>
          <w:iCs/>
        </w:rPr>
        <w:t xml:space="preserve">, </w:t>
      </w:r>
      <w:r w:rsidR="00B74AE8" w:rsidRPr="008E13E3">
        <w:t>175 FERC ¶ 61,104, at P 4</w:t>
      </w:r>
      <w:r w:rsidRPr="008E13E3">
        <w:t xml:space="preserve"> (2021)).</w:t>
      </w:r>
    </w:p>
  </w:footnote>
  <w:footnote w:id="158">
    <w:p w14:paraId="2559343B" w14:textId="77777777" w:rsidR="00927EEE" w:rsidRPr="008E13E3" w:rsidRDefault="00927EEE" w:rsidP="00927EEE">
      <w:pPr>
        <w:pStyle w:val="FootnoteText"/>
      </w:pPr>
      <w:r w:rsidRPr="008E13E3">
        <w:rPr>
          <w:rStyle w:val="FootnoteReference"/>
        </w:rPr>
        <w:footnoteRef/>
      </w:r>
      <w:r w:rsidRPr="008E13E3">
        <w:t xml:space="preserve"> </w:t>
      </w:r>
      <w:r w:rsidRPr="008E13E3">
        <w:rPr>
          <w:i/>
          <w:iCs/>
        </w:rPr>
        <w:t>Id</w:t>
      </w:r>
      <w:r w:rsidRPr="008E13E3">
        <w:t xml:space="preserve">. at </w:t>
      </w:r>
      <w:r w:rsidR="005B71BF" w:rsidRPr="008E13E3">
        <w:t>46-47</w:t>
      </w:r>
      <w:r w:rsidRPr="008E13E3">
        <w:t>.</w:t>
      </w:r>
    </w:p>
  </w:footnote>
  <w:footnote w:id="159">
    <w:p w14:paraId="6A357700" w14:textId="77777777" w:rsidR="00D371A7" w:rsidRPr="008E13E3" w:rsidRDefault="00D371A7">
      <w:pPr>
        <w:pStyle w:val="FootnoteText"/>
      </w:pPr>
      <w:r w:rsidRPr="008E13E3">
        <w:rPr>
          <w:rStyle w:val="FootnoteReference"/>
        </w:rPr>
        <w:footnoteRef/>
      </w:r>
      <w:r w:rsidRPr="008E13E3">
        <w:t xml:space="preserve"> </w:t>
      </w:r>
      <w:r w:rsidRPr="008E13E3">
        <w:rPr>
          <w:i/>
          <w:iCs/>
        </w:rPr>
        <w:t>See</w:t>
      </w:r>
      <w:r w:rsidRPr="008E13E3">
        <w:t xml:space="preserve"> </w:t>
      </w:r>
      <w:r w:rsidR="004C3B1B" w:rsidRPr="008E13E3">
        <w:t>PG&amp;E Adder Rehearing Order</w:t>
      </w:r>
      <w:r w:rsidR="00382013" w:rsidRPr="008E13E3">
        <w:t xml:space="preserve">, 187 FERC </w:t>
      </w:r>
      <w:r w:rsidR="00B74AE8" w:rsidRPr="008E13E3">
        <w:t>¶ 6</w:t>
      </w:r>
      <w:r w:rsidR="00382013" w:rsidRPr="008E13E3">
        <w:t xml:space="preserve">1,167 at </w:t>
      </w:r>
      <w:r w:rsidR="00B74AE8" w:rsidRPr="008E13E3">
        <w:t>P 4</w:t>
      </w:r>
      <w:r w:rsidR="00A84A22" w:rsidRPr="008E13E3">
        <w:t xml:space="preserve">8. </w:t>
      </w:r>
    </w:p>
  </w:footnote>
  <w:footnote w:id="160">
    <w:p w14:paraId="2023245A" w14:textId="77777777" w:rsidR="00D371A7" w:rsidRPr="008E13E3" w:rsidRDefault="00D371A7" w:rsidP="00D371A7">
      <w:pPr>
        <w:pStyle w:val="FootnoteText"/>
      </w:pPr>
      <w:r w:rsidRPr="008E13E3">
        <w:rPr>
          <w:rStyle w:val="FootnoteReference"/>
        </w:rPr>
        <w:footnoteRef/>
      </w:r>
      <w:r w:rsidRPr="008E13E3">
        <w:t xml:space="preserve"> </w:t>
      </w:r>
      <w:r w:rsidR="0094290C" w:rsidRPr="008E13E3">
        <w:t>Rehearing Request at 46</w:t>
      </w:r>
      <w:r w:rsidRPr="008E13E3">
        <w:t>.</w:t>
      </w:r>
    </w:p>
  </w:footnote>
  <w:footnote w:id="161">
    <w:p w14:paraId="7F365301" w14:textId="77777777" w:rsidR="00D371A7" w:rsidRPr="008E13E3" w:rsidRDefault="00D371A7" w:rsidP="00D371A7">
      <w:pPr>
        <w:pStyle w:val="FootnoteText"/>
      </w:pPr>
      <w:r w:rsidRPr="008E13E3">
        <w:rPr>
          <w:rStyle w:val="FootnoteReference"/>
        </w:rPr>
        <w:footnoteRef/>
      </w:r>
      <w:r w:rsidRPr="008E13E3">
        <w:t xml:space="preserve"> </w:t>
      </w:r>
      <w:r w:rsidRPr="008E13E3">
        <w:rPr>
          <w:i/>
          <w:iCs/>
        </w:rPr>
        <w:t>See</w:t>
      </w:r>
      <w:r w:rsidRPr="008E13E3">
        <w:t xml:space="preserve"> </w:t>
      </w:r>
      <w:r w:rsidRPr="008E13E3">
        <w:rPr>
          <w:i/>
          <w:iCs/>
        </w:rPr>
        <w:t>S. Cal. Edison Co. v. FERC</w:t>
      </w:r>
      <w:r w:rsidRPr="008E13E3">
        <w:t>, 717 F.3d 177, 185-86 (D.C. Cir. 2013) (rejecting argument that Commission applied different standards to similarly situated entities where Commission adequately explained how entities were not similarly situated)</w:t>
      </w:r>
      <w:r w:rsidR="0094290C" w:rsidRPr="008E13E3">
        <w:t xml:space="preserve">; </w:t>
      </w:r>
      <w:r w:rsidR="0094290C" w:rsidRPr="008E13E3">
        <w:rPr>
          <w:i/>
          <w:iCs/>
        </w:rPr>
        <w:t xml:space="preserve">see also </w:t>
      </w:r>
      <w:proofErr w:type="spellStart"/>
      <w:r w:rsidR="0094290C" w:rsidRPr="008E13E3">
        <w:rPr>
          <w:i/>
          <w:iCs/>
        </w:rPr>
        <w:t>Viridon</w:t>
      </w:r>
      <w:proofErr w:type="spellEnd"/>
      <w:r w:rsidR="0094290C" w:rsidRPr="008E13E3">
        <w:t xml:space="preserve">, </w:t>
      </w:r>
      <w:r w:rsidR="00920ABA" w:rsidRPr="008E13E3">
        <w:t xml:space="preserve">186 FERC </w:t>
      </w:r>
      <w:r w:rsidR="00B74AE8" w:rsidRPr="008E13E3">
        <w:t>¶ 6</w:t>
      </w:r>
      <w:r w:rsidR="00920ABA" w:rsidRPr="008E13E3">
        <w:t xml:space="preserve">1,143 at </w:t>
      </w:r>
      <w:r w:rsidR="00B74AE8" w:rsidRPr="008E13E3">
        <w:t>P 5</w:t>
      </w:r>
      <w:r w:rsidR="00537B3E" w:rsidRPr="008E13E3">
        <w:t>7 (“As [</w:t>
      </w:r>
      <w:r w:rsidR="002D1964" w:rsidRPr="008E13E3">
        <w:t>requestor</w:t>
      </w:r>
      <w:r w:rsidR="00537B3E" w:rsidRPr="008E13E3">
        <w:t xml:space="preserve">] notes, unlike those three investor-owned utilities, </w:t>
      </w:r>
      <w:r w:rsidR="002D1964" w:rsidRPr="008E13E3">
        <w:t>[requestor]</w:t>
      </w:r>
      <w:r w:rsidR="00537B3E" w:rsidRPr="008E13E3">
        <w:t xml:space="preserve"> </w:t>
      </w:r>
      <w:r w:rsidR="00491439" w:rsidRPr="008E13E3">
        <w:t>is not required by state statute to join CAISO.”)</w:t>
      </w:r>
      <w:r w:rsidR="00920ABA" w:rsidRPr="008E13E3">
        <w:t xml:space="preserve">. </w:t>
      </w:r>
    </w:p>
  </w:footnote>
  <w:footnote w:id="162">
    <w:p w14:paraId="621B440C" w14:textId="77777777" w:rsidR="00197E27" w:rsidRPr="00197E27" w:rsidRDefault="00197E27">
      <w:pPr>
        <w:pStyle w:val="FootnoteText"/>
      </w:pPr>
      <w:r w:rsidRPr="008E13E3">
        <w:rPr>
          <w:rStyle w:val="FootnoteReference"/>
        </w:rPr>
        <w:footnoteRef/>
      </w:r>
      <w:r w:rsidRPr="008E13E3">
        <w:t xml:space="preserve"> </w:t>
      </w:r>
      <w:r w:rsidRPr="008E13E3">
        <w:rPr>
          <w:i/>
          <w:iCs/>
        </w:rPr>
        <w:t>Dayton</w:t>
      </w:r>
      <w:r w:rsidRPr="008E13E3">
        <w:t xml:space="preserve">, </w:t>
      </w:r>
      <w:r w:rsidR="00603BEC" w:rsidRPr="008E13E3">
        <w:t>126 F.4th at 1131.</w:t>
      </w:r>
      <w:r w:rsidR="00603BE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058C" w14:textId="77777777" w:rsidR="00653D8D" w:rsidRDefault="00D42B1D" w:rsidP="00407EE0">
    <w:pPr>
      <w:pStyle w:val="Head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1E48921A" wp14:editId="6119C4A3">
              <wp:simplePos x="635" y="635"/>
              <wp:positionH relativeFrom="page">
                <wp:align>center</wp:align>
              </wp:positionH>
              <wp:positionV relativeFrom="page">
                <wp:align>top</wp:align>
              </wp:positionV>
              <wp:extent cx="443865" cy="443865"/>
              <wp:effectExtent l="0" t="0" r="1270" b="635"/>
              <wp:wrapNone/>
              <wp:docPr id="2" name="Text Box 2" descr="CU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C8F89C" w14:textId="77777777" w:rsidR="00D42B1D" w:rsidRPr="00D42B1D" w:rsidRDefault="00D42B1D" w:rsidP="00D42B1D">
                          <w:pPr>
                            <w:rPr>
                              <w:rFonts w:eastAsia="Times New Roman"/>
                              <w:noProof/>
                              <w:color w:val="FF0000"/>
                              <w:szCs w:val="26"/>
                            </w:rPr>
                          </w:pPr>
                          <w:r w:rsidRPr="00D42B1D">
                            <w:rPr>
                              <w:rFonts w:eastAsia="Times New Roman"/>
                              <w:noProof/>
                              <w:color w:val="FF0000"/>
                              <w:szCs w:val="26"/>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48921A" id="_x0000_t202" coordsize="21600,21600" o:spt="202" path="m,l,21600r21600,l21600,xe">
              <v:stroke joinstyle="miter"/>
              <v:path gradientshapeok="t" o:connecttype="rect"/>
            </v:shapetype>
            <v:shape id="Text Box 2" o:spid="_x0000_s1026" type="#_x0000_t202" alt="CUI"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4C8F89C" w14:textId="77777777" w:rsidR="00D42B1D" w:rsidRPr="00D42B1D" w:rsidRDefault="00D42B1D" w:rsidP="00D42B1D">
                    <w:pPr>
                      <w:rPr>
                        <w:rFonts w:eastAsia="Times New Roman"/>
                        <w:noProof/>
                        <w:color w:val="FF0000"/>
                        <w:szCs w:val="26"/>
                      </w:rPr>
                    </w:pPr>
                    <w:r w:rsidRPr="00D42B1D">
                      <w:rPr>
                        <w:rFonts w:eastAsia="Times New Roman"/>
                        <w:noProof/>
                        <w:color w:val="FF0000"/>
                        <w:szCs w:val="26"/>
                      </w:rPr>
                      <w:t>CUI</w:t>
                    </w:r>
                  </w:p>
                </w:txbxContent>
              </v:textbox>
              <w10:wrap anchorx="page" anchory="page"/>
            </v:shape>
          </w:pict>
        </mc:Fallback>
      </mc:AlternateContent>
    </w:r>
    <w:r w:rsidR="00653D8D">
      <w:rPr>
        <w:rStyle w:val="PageNumber"/>
      </w:rPr>
      <w:fldChar w:fldCharType="begin"/>
    </w:r>
    <w:r w:rsidR="00653D8D">
      <w:rPr>
        <w:rStyle w:val="PageNumber"/>
      </w:rPr>
      <w:instrText xml:space="preserve">PAGE  </w:instrText>
    </w:r>
    <w:r w:rsidR="00653D8D">
      <w:rPr>
        <w:rStyle w:val="PageNumber"/>
      </w:rPr>
      <w:fldChar w:fldCharType="separate"/>
    </w:r>
    <w:r w:rsidR="00653D8D">
      <w:rPr>
        <w:rStyle w:val="PageNumber"/>
        <w:noProof/>
      </w:rPr>
      <w:t>- 1 -</w:t>
    </w:r>
    <w:r w:rsidR="00653D8D">
      <w:rPr>
        <w:rStyle w:val="PageNumber"/>
      </w:rPr>
      <w:fldChar w:fldCharType="end"/>
    </w:r>
  </w:p>
  <w:p w14:paraId="4B38C6D1" w14:textId="77777777" w:rsidR="00653D8D" w:rsidRDefault="00653D8D"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A117" w14:textId="77777777" w:rsidR="00653D8D" w:rsidRDefault="00D42B1D" w:rsidP="00D42B1D">
    <w:pPr>
      <w:pStyle w:val="Header"/>
      <w:tabs>
        <w:tab w:val="clear" w:pos="4680"/>
      </w:tabs>
      <w:spacing w:after="240"/>
    </w:pPr>
    <w:r>
      <w:t>Docket No. ER25-270-001</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73EF" w14:textId="77777777" w:rsidR="00653D8D" w:rsidRDefault="00653D8D"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6082C"/>
    <w:multiLevelType w:val="hybridMultilevel"/>
    <w:tmpl w:val="287213FA"/>
    <w:lvl w:ilvl="0" w:tplc="399A47A6">
      <w:start w:val="1"/>
      <w:numFmt w:val="upperLetter"/>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502FF"/>
    <w:multiLevelType w:val="multilevel"/>
    <w:tmpl w:val="42787AB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15:restartNumberingAfterBreak="0">
    <w:nsid w:val="7C244DDA"/>
    <w:multiLevelType w:val="hybridMultilevel"/>
    <w:tmpl w:val="B8F4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3B09D3"/>
    <w:multiLevelType w:val="hybridMultilevel"/>
    <w:tmpl w:val="CBD0A5C6"/>
    <w:lvl w:ilvl="0" w:tplc="09D8FFA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1080175">
    <w:abstractNumId w:val="9"/>
  </w:num>
  <w:num w:numId="2" w16cid:durableId="436825673">
    <w:abstractNumId w:val="7"/>
  </w:num>
  <w:num w:numId="3" w16cid:durableId="2023042739">
    <w:abstractNumId w:val="6"/>
  </w:num>
  <w:num w:numId="4" w16cid:durableId="1507210208">
    <w:abstractNumId w:val="5"/>
  </w:num>
  <w:num w:numId="5" w16cid:durableId="255291719">
    <w:abstractNumId w:val="4"/>
  </w:num>
  <w:num w:numId="6" w16cid:durableId="124351206">
    <w:abstractNumId w:val="8"/>
  </w:num>
  <w:num w:numId="7" w16cid:durableId="1778678035">
    <w:abstractNumId w:val="3"/>
  </w:num>
  <w:num w:numId="8" w16cid:durableId="1575512540">
    <w:abstractNumId w:val="2"/>
  </w:num>
  <w:num w:numId="9" w16cid:durableId="1142500387">
    <w:abstractNumId w:val="1"/>
  </w:num>
  <w:num w:numId="10" w16cid:durableId="1312561718">
    <w:abstractNumId w:val="0"/>
  </w:num>
  <w:num w:numId="11" w16cid:durableId="812917180">
    <w:abstractNumId w:val="21"/>
  </w:num>
  <w:num w:numId="12" w16cid:durableId="52506773">
    <w:abstractNumId w:val="18"/>
  </w:num>
  <w:num w:numId="13" w16cid:durableId="859006164">
    <w:abstractNumId w:val="13"/>
  </w:num>
  <w:num w:numId="14" w16cid:durableId="311065281">
    <w:abstractNumId w:val="19"/>
  </w:num>
  <w:num w:numId="15" w16cid:durableId="1146164863">
    <w:abstractNumId w:val="17"/>
  </w:num>
  <w:num w:numId="16" w16cid:durableId="10713903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519094">
    <w:abstractNumId w:val="11"/>
  </w:num>
  <w:num w:numId="18" w16cid:durableId="1754618900">
    <w:abstractNumId w:val="10"/>
  </w:num>
  <w:num w:numId="19" w16cid:durableId="1358699890">
    <w:abstractNumId w:val="14"/>
  </w:num>
  <w:num w:numId="20" w16cid:durableId="1399862505">
    <w:abstractNumId w:val="12"/>
  </w:num>
  <w:num w:numId="21" w16cid:durableId="984897000">
    <w:abstractNumId w:val="22"/>
  </w:num>
  <w:num w:numId="22" w16cid:durableId="46496330">
    <w:abstractNumId w:val="15"/>
  </w:num>
  <w:num w:numId="23" w16cid:durableId="1900170331">
    <w:abstractNumId w:val="16"/>
  </w:num>
  <w:num w:numId="24" w16cid:durableId="4828937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3C1BCCE-D3EB-415A-A5A3-6A0569B80DDC}"/>
    <w:docVar w:name="dgnword-eventsink" w:val="558485776"/>
  </w:docVars>
  <w:rsids>
    <w:rsidRoot w:val="008D182D"/>
    <w:rsid w:val="00000460"/>
    <w:rsid w:val="0000075E"/>
    <w:rsid w:val="00001596"/>
    <w:rsid w:val="0000187F"/>
    <w:rsid w:val="000020E5"/>
    <w:rsid w:val="00003340"/>
    <w:rsid w:val="00003353"/>
    <w:rsid w:val="00003433"/>
    <w:rsid w:val="00003ACD"/>
    <w:rsid w:val="00003B90"/>
    <w:rsid w:val="00003D05"/>
    <w:rsid w:val="00004ED9"/>
    <w:rsid w:val="000050CD"/>
    <w:rsid w:val="00005E21"/>
    <w:rsid w:val="00006CCE"/>
    <w:rsid w:val="000071BF"/>
    <w:rsid w:val="0000731D"/>
    <w:rsid w:val="00010FA6"/>
    <w:rsid w:val="000112F2"/>
    <w:rsid w:val="000118C8"/>
    <w:rsid w:val="00011CEC"/>
    <w:rsid w:val="00011F24"/>
    <w:rsid w:val="00012822"/>
    <w:rsid w:val="00012FAF"/>
    <w:rsid w:val="00013034"/>
    <w:rsid w:val="00013A67"/>
    <w:rsid w:val="000143AA"/>
    <w:rsid w:val="00014634"/>
    <w:rsid w:val="00014AB5"/>
    <w:rsid w:val="00015131"/>
    <w:rsid w:val="00015AB2"/>
    <w:rsid w:val="00017C1D"/>
    <w:rsid w:val="00020422"/>
    <w:rsid w:val="0002042F"/>
    <w:rsid w:val="00020DC3"/>
    <w:rsid w:val="000229F7"/>
    <w:rsid w:val="00022A33"/>
    <w:rsid w:val="0002355F"/>
    <w:rsid w:val="000238F1"/>
    <w:rsid w:val="00024217"/>
    <w:rsid w:val="00026815"/>
    <w:rsid w:val="000276BC"/>
    <w:rsid w:val="00030CBA"/>
    <w:rsid w:val="00030D96"/>
    <w:rsid w:val="0003154E"/>
    <w:rsid w:val="00031813"/>
    <w:rsid w:val="00031AE0"/>
    <w:rsid w:val="00032468"/>
    <w:rsid w:val="0003288F"/>
    <w:rsid w:val="000329A2"/>
    <w:rsid w:val="0003382F"/>
    <w:rsid w:val="00033966"/>
    <w:rsid w:val="000345D0"/>
    <w:rsid w:val="0003581A"/>
    <w:rsid w:val="000361E0"/>
    <w:rsid w:val="000366C3"/>
    <w:rsid w:val="00036E27"/>
    <w:rsid w:val="00037CC1"/>
    <w:rsid w:val="000405C8"/>
    <w:rsid w:val="000405D6"/>
    <w:rsid w:val="00040957"/>
    <w:rsid w:val="00040F8B"/>
    <w:rsid w:val="000416B8"/>
    <w:rsid w:val="00041B6D"/>
    <w:rsid w:val="000424B9"/>
    <w:rsid w:val="0004287C"/>
    <w:rsid w:val="000428C4"/>
    <w:rsid w:val="00042EF6"/>
    <w:rsid w:val="00044F88"/>
    <w:rsid w:val="0004624A"/>
    <w:rsid w:val="0004681F"/>
    <w:rsid w:val="00046E6E"/>
    <w:rsid w:val="0004731A"/>
    <w:rsid w:val="000475FF"/>
    <w:rsid w:val="0005076F"/>
    <w:rsid w:val="00051153"/>
    <w:rsid w:val="0005135D"/>
    <w:rsid w:val="00051582"/>
    <w:rsid w:val="000526BA"/>
    <w:rsid w:val="000539D1"/>
    <w:rsid w:val="000542FB"/>
    <w:rsid w:val="000550DC"/>
    <w:rsid w:val="00055E8D"/>
    <w:rsid w:val="00055F5F"/>
    <w:rsid w:val="0005679D"/>
    <w:rsid w:val="00057D13"/>
    <w:rsid w:val="00057FEF"/>
    <w:rsid w:val="0006062A"/>
    <w:rsid w:val="00060B16"/>
    <w:rsid w:val="0006117F"/>
    <w:rsid w:val="000614BB"/>
    <w:rsid w:val="0006164C"/>
    <w:rsid w:val="00062675"/>
    <w:rsid w:val="00062732"/>
    <w:rsid w:val="00062AB3"/>
    <w:rsid w:val="00062CEA"/>
    <w:rsid w:val="000639B1"/>
    <w:rsid w:val="0006401E"/>
    <w:rsid w:val="0006420D"/>
    <w:rsid w:val="00064E36"/>
    <w:rsid w:val="000662C1"/>
    <w:rsid w:val="00066734"/>
    <w:rsid w:val="00067071"/>
    <w:rsid w:val="00067BAD"/>
    <w:rsid w:val="00070857"/>
    <w:rsid w:val="00070D22"/>
    <w:rsid w:val="000732E9"/>
    <w:rsid w:val="0007377C"/>
    <w:rsid w:val="00073A97"/>
    <w:rsid w:val="000742E2"/>
    <w:rsid w:val="00074BC7"/>
    <w:rsid w:val="0007574D"/>
    <w:rsid w:val="0007605F"/>
    <w:rsid w:val="000761E4"/>
    <w:rsid w:val="0007636C"/>
    <w:rsid w:val="00076571"/>
    <w:rsid w:val="00076BCF"/>
    <w:rsid w:val="00076BD1"/>
    <w:rsid w:val="00077ABF"/>
    <w:rsid w:val="00077DD3"/>
    <w:rsid w:val="00080FBB"/>
    <w:rsid w:val="000837D0"/>
    <w:rsid w:val="0008478C"/>
    <w:rsid w:val="00084A31"/>
    <w:rsid w:val="00084C17"/>
    <w:rsid w:val="00086B2C"/>
    <w:rsid w:val="00086D98"/>
    <w:rsid w:val="00087141"/>
    <w:rsid w:val="0008778D"/>
    <w:rsid w:val="0009006B"/>
    <w:rsid w:val="000903D3"/>
    <w:rsid w:val="00090F44"/>
    <w:rsid w:val="00091987"/>
    <w:rsid w:val="00092634"/>
    <w:rsid w:val="0009326A"/>
    <w:rsid w:val="0009356B"/>
    <w:rsid w:val="00093DBF"/>
    <w:rsid w:val="000946D2"/>
    <w:rsid w:val="000964CA"/>
    <w:rsid w:val="00096647"/>
    <w:rsid w:val="000976BE"/>
    <w:rsid w:val="00097BDE"/>
    <w:rsid w:val="00097C05"/>
    <w:rsid w:val="000A0A2C"/>
    <w:rsid w:val="000A2D1A"/>
    <w:rsid w:val="000A329D"/>
    <w:rsid w:val="000A3D2F"/>
    <w:rsid w:val="000A540C"/>
    <w:rsid w:val="000A5890"/>
    <w:rsid w:val="000A6095"/>
    <w:rsid w:val="000A6835"/>
    <w:rsid w:val="000A6C08"/>
    <w:rsid w:val="000A7246"/>
    <w:rsid w:val="000A75FD"/>
    <w:rsid w:val="000B01AB"/>
    <w:rsid w:val="000B0B73"/>
    <w:rsid w:val="000B17FA"/>
    <w:rsid w:val="000B2676"/>
    <w:rsid w:val="000B2C11"/>
    <w:rsid w:val="000B34B3"/>
    <w:rsid w:val="000B34D5"/>
    <w:rsid w:val="000B3630"/>
    <w:rsid w:val="000B366A"/>
    <w:rsid w:val="000B4124"/>
    <w:rsid w:val="000B4E61"/>
    <w:rsid w:val="000B50E7"/>
    <w:rsid w:val="000B6D9F"/>
    <w:rsid w:val="000B6E97"/>
    <w:rsid w:val="000B6ED9"/>
    <w:rsid w:val="000B7E62"/>
    <w:rsid w:val="000C0253"/>
    <w:rsid w:val="000C0A6D"/>
    <w:rsid w:val="000C0D79"/>
    <w:rsid w:val="000C0EF7"/>
    <w:rsid w:val="000C0FB0"/>
    <w:rsid w:val="000C1FCA"/>
    <w:rsid w:val="000C2326"/>
    <w:rsid w:val="000C327C"/>
    <w:rsid w:val="000C499A"/>
    <w:rsid w:val="000C4A0B"/>
    <w:rsid w:val="000C5D5F"/>
    <w:rsid w:val="000C5F20"/>
    <w:rsid w:val="000C6869"/>
    <w:rsid w:val="000C79CA"/>
    <w:rsid w:val="000D017E"/>
    <w:rsid w:val="000D0559"/>
    <w:rsid w:val="000D07F7"/>
    <w:rsid w:val="000D0EE6"/>
    <w:rsid w:val="000D1156"/>
    <w:rsid w:val="000D1B20"/>
    <w:rsid w:val="000D1C9F"/>
    <w:rsid w:val="000D1D4B"/>
    <w:rsid w:val="000D1DF7"/>
    <w:rsid w:val="000D1FB6"/>
    <w:rsid w:val="000D2476"/>
    <w:rsid w:val="000D2482"/>
    <w:rsid w:val="000D3907"/>
    <w:rsid w:val="000D3E97"/>
    <w:rsid w:val="000D40A1"/>
    <w:rsid w:val="000D421C"/>
    <w:rsid w:val="000D5CD4"/>
    <w:rsid w:val="000D5DED"/>
    <w:rsid w:val="000D5EFB"/>
    <w:rsid w:val="000D5F5F"/>
    <w:rsid w:val="000D6024"/>
    <w:rsid w:val="000D63D5"/>
    <w:rsid w:val="000D6853"/>
    <w:rsid w:val="000D72D3"/>
    <w:rsid w:val="000D739B"/>
    <w:rsid w:val="000D7842"/>
    <w:rsid w:val="000D7C68"/>
    <w:rsid w:val="000D7DD4"/>
    <w:rsid w:val="000D7E4E"/>
    <w:rsid w:val="000D7E80"/>
    <w:rsid w:val="000D7E96"/>
    <w:rsid w:val="000E065C"/>
    <w:rsid w:val="000E0857"/>
    <w:rsid w:val="000E0FB3"/>
    <w:rsid w:val="000E2097"/>
    <w:rsid w:val="000E2BFA"/>
    <w:rsid w:val="000E60D0"/>
    <w:rsid w:val="000E6711"/>
    <w:rsid w:val="000E7C57"/>
    <w:rsid w:val="000F1828"/>
    <w:rsid w:val="000F18FA"/>
    <w:rsid w:val="000F2B3B"/>
    <w:rsid w:val="000F2CDE"/>
    <w:rsid w:val="000F2D4E"/>
    <w:rsid w:val="000F2DC1"/>
    <w:rsid w:val="000F372C"/>
    <w:rsid w:val="000F3F73"/>
    <w:rsid w:val="000F52AC"/>
    <w:rsid w:val="000F58E1"/>
    <w:rsid w:val="000F603B"/>
    <w:rsid w:val="000F6403"/>
    <w:rsid w:val="000F6C7F"/>
    <w:rsid w:val="000F7CA4"/>
    <w:rsid w:val="00100E1B"/>
    <w:rsid w:val="00101107"/>
    <w:rsid w:val="00101F51"/>
    <w:rsid w:val="001023B0"/>
    <w:rsid w:val="00102736"/>
    <w:rsid w:val="0010290F"/>
    <w:rsid w:val="001045CC"/>
    <w:rsid w:val="00104F76"/>
    <w:rsid w:val="0010555E"/>
    <w:rsid w:val="00105B42"/>
    <w:rsid w:val="00107624"/>
    <w:rsid w:val="0011322B"/>
    <w:rsid w:val="001136DC"/>
    <w:rsid w:val="001141D9"/>
    <w:rsid w:val="001160EF"/>
    <w:rsid w:val="00117B25"/>
    <w:rsid w:val="00120603"/>
    <w:rsid w:val="001208A2"/>
    <w:rsid w:val="001209EF"/>
    <w:rsid w:val="00120EF5"/>
    <w:rsid w:val="00121B5E"/>
    <w:rsid w:val="00121C29"/>
    <w:rsid w:val="001236E4"/>
    <w:rsid w:val="0012371E"/>
    <w:rsid w:val="001239C4"/>
    <w:rsid w:val="00123B00"/>
    <w:rsid w:val="00124C66"/>
    <w:rsid w:val="0012679A"/>
    <w:rsid w:val="00126A18"/>
    <w:rsid w:val="00126A60"/>
    <w:rsid w:val="00126E54"/>
    <w:rsid w:val="0012713F"/>
    <w:rsid w:val="00127478"/>
    <w:rsid w:val="001279B9"/>
    <w:rsid w:val="00127C66"/>
    <w:rsid w:val="00130CCE"/>
    <w:rsid w:val="00130DB4"/>
    <w:rsid w:val="0013119F"/>
    <w:rsid w:val="0013148E"/>
    <w:rsid w:val="00132D57"/>
    <w:rsid w:val="00133049"/>
    <w:rsid w:val="001335ED"/>
    <w:rsid w:val="0013370F"/>
    <w:rsid w:val="00133D54"/>
    <w:rsid w:val="001342AD"/>
    <w:rsid w:val="00135486"/>
    <w:rsid w:val="00135E14"/>
    <w:rsid w:val="00137500"/>
    <w:rsid w:val="00137F1C"/>
    <w:rsid w:val="00141552"/>
    <w:rsid w:val="00141C2C"/>
    <w:rsid w:val="001421AA"/>
    <w:rsid w:val="0014304D"/>
    <w:rsid w:val="001430E5"/>
    <w:rsid w:val="00143A49"/>
    <w:rsid w:val="00143CD6"/>
    <w:rsid w:val="00144236"/>
    <w:rsid w:val="00145048"/>
    <w:rsid w:val="00145C37"/>
    <w:rsid w:val="00146074"/>
    <w:rsid w:val="001463A0"/>
    <w:rsid w:val="0014647E"/>
    <w:rsid w:val="00146A50"/>
    <w:rsid w:val="001470F1"/>
    <w:rsid w:val="00147E62"/>
    <w:rsid w:val="0015058A"/>
    <w:rsid w:val="001506E8"/>
    <w:rsid w:val="001512A7"/>
    <w:rsid w:val="001520D4"/>
    <w:rsid w:val="0015330C"/>
    <w:rsid w:val="00153534"/>
    <w:rsid w:val="00154348"/>
    <w:rsid w:val="001549DE"/>
    <w:rsid w:val="00154B7F"/>
    <w:rsid w:val="00154C44"/>
    <w:rsid w:val="00154C7A"/>
    <w:rsid w:val="001552DD"/>
    <w:rsid w:val="00155A5D"/>
    <w:rsid w:val="00155A93"/>
    <w:rsid w:val="00157128"/>
    <w:rsid w:val="001603C2"/>
    <w:rsid w:val="00160CE8"/>
    <w:rsid w:val="00161B9C"/>
    <w:rsid w:val="00162626"/>
    <w:rsid w:val="00163363"/>
    <w:rsid w:val="00163B7A"/>
    <w:rsid w:val="00163E36"/>
    <w:rsid w:val="00164182"/>
    <w:rsid w:val="0016531B"/>
    <w:rsid w:val="001657ED"/>
    <w:rsid w:val="00166B28"/>
    <w:rsid w:val="00166C8E"/>
    <w:rsid w:val="00167299"/>
    <w:rsid w:val="00167326"/>
    <w:rsid w:val="00170CE2"/>
    <w:rsid w:val="001717E9"/>
    <w:rsid w:val="00172B7C"/>
    <w:rsid w:val="00172DB3"/>
    <w:rsid w:val="001737E9"/>
    <w:rsid w:val="001748EB"/>
    <w:rsid w:val="00175050"/>
    <w:rsid w:val="00175203"/>
    <w:rsid w:val="001761CD"/>
    <w:rsid w:val="0017696A"/>
    <w:rsid w:val="0017701D"/>
    <w:rsid w:val="0017750D"/>
    <w:rsid w:val="00180204"/>
    <w:rsid w:val="00180A2F"/>
    <w:rsid w:val="00181A22"/>
    <w:rsid w:val="00182869"/>
    <w:rsid w:val="0018390C"/>
    <w:rsid w:val="00183CE1"/>
    <w:rsid w:val="00184175"/>
    <w:rsid w:val="001847CD"/>
    <w:rsid w:val="0018481B"/>
    <w:rsid w:val="00184F43"/>
    <w:rsid w:val="001868F5"/>
    <w:rsid w:val="00187182"/>
    <w:rsid w:val="0018758C"/>
    <w:rsid w:val="0019098E"/>
    <w:rsid w:val="00190AA0"/>
    <w:rsid w:val="00190D6F"/>
    <w:rsid w:val="00191617"/>
    <w:rsid w:val="00191A8C"/>
    <w:rsid w:val="001927A5"/>
    <w:rsid w:val="0019292E"/>
    <w:rsid w:val="00194400"/>
    <w:rsid w:val="001960DD"/>
    <w:rsid w:val="00197E27"/>
    <w:rsid w:val="001A0026"/>
    <w:rsid w:val="001A010F"/>
    <w:rsid w:val="001A1641"/>
    <w:rsid w:val="001A1693"/>
    <w:rsid w:val="001A1D31"/>
    <w:rsid w:val="001A1EFA"/>
    <w:rsid w:val="001A2AF1"/>
    <w:rsid w:val="001A2DBB"/>
    <w:rsid w:val="001A33D6"/>
    <w:rsid w:val="001A4736"/>
    <w:rsid w:val="001A563A"/>
    <w:rsid w:val="001A5DBA"/>
    <w:rsid w:val="001A5EC2"/>
    <w:rsid w:val="001A6230"/>
    <w:rsid w:val="001A6532"/>
    <w:rsid w:val="001A6680"/>
    <w:rsid w:val="001A71BF"/>
    <w:rsid w:val="001A7505"/>
    <w:rsid w:val="001A7A13"/>
    <w:rsid w:val="001B042B"/>
    <w:rsid w:val="001B05E8"/>
    <w:rsid w:val="001B1FE9"/>
    <w:rsid w:val="001B22AC"/>
    <w:rsid w:val="001B2C4C"/>
    <w:rsid w:val="001B2C6D"/>
    <w:rsid w:val="001B2DF9"/>
    <w:rsid w:val="001B362D"/>
    <w:rsid w:val="001B49F3"/>
    <w:rsid w:val="001B4FB2"/>
    <w:rsid w:val="001B580E"/>
    <w:rsid w:val="001B5821"/>
    <w:rsid w:val="001B6454"/>
    <w:rsid w:val="001C11A0"/>
    <w:rsid w:val="001C13FF"/>
    <w:rsid w:val="001C244E"/>
    <w:rsid w:val="001C2FBB"/>
    <w:rsid w:val="001C39DD"/>
    <w:rsid w:val="001C5B13"/>
    <w:rsid w:val="001C6AFB"/>
    <w:rsid w:val="001C6DCE"/>
    <w:rsid w:val="001C78DB"/>
    <w:rsid w:val="001C7956"/>
    <w:rsid w:val="001D0150"/>
    <w:rsid w:val="001D1656"/>
    <w:rsid w:val="001D264B"/>
    <w:rsid w:val="001D2A7E"/>
    <w:rsid w:val="001D3B0D"/>
    <w:rsid w:val="001D43A5"/>
    <w:rsid w:val="001D6282"/>
    <w:rsid w:val="001D7927"/>
    <w:rsid w:val="001E16AA"/>
    <w:rsid w:val="001E241F"/>
    <w:rsid w:val="001E2524"/>
    <w:rsid w:val="001E25D3"/>
    <w:rsid w:val="001E2908"/>
    <w:rsid w:val="001E3808"/>
    <w:rsid w:val="001E3F19"/>
    <w:rsid w:val="001E4E96"/>
    <w:rsid w:val="001E5680"/>
    <w:rsid w:val="001E59F9"/>
    <w:rsid w:val="001E5E31"/>
    <w:rsid w:val="001E732A"/>
    <w:rsid w:val="001E7A8F"/>
    <w:rsid w:val="001F05E4"/>
    <w:rsid w:val="001F43D2"/>
    <w:rsid w:val="001F5161"/>
    <w:rsid w:val="001F51A0"/>
    <w:rsid w:val="001F581C"/>
    <w:rsid w:val="001F5CC6"/>
    <w:rsid w:val="001F5F77"/>
    <w:rsid w:val="001F6254"/>
    <w:rsid w:val="001F6EFF"/>
    <w:rsid w:val="001F72B4"/>
    <w:rsid w:val="002012B6"/>
    <w:rsid w:val="002020E0"/>
    <w:rsid w:val="00202BC3"/>
    <w:rsid w:val="0020308E"/>
    <w:rsid w:val="00203409"/>
    <w:rsid w:val="00203911"/>
    <w:rsid w:val="00203A8D"/>
    <w:rsid w:val="00204EBA"/>
    <w:rsid w:val="00204F24"/>
    <w:rsid w:val="00205EC3"/>
    <w:rsid w:val="00206763"/>
    <w:rsid w:val="00206A0B"/>
    <w:rsid w:val="002072CF"/>
    <w:rsid w:val="0020738C"/>
    <w:rsid w:val="0021057D"/>
    <w:rsid w:val="002105E8"/>
    <w:rsid w:val="00211765"/>
    <w:rsid w:val="002117D0"/>
    <w:rsid w:val="002119A1"/>
    <w:rsid w:val="0021226B"/>
    <w:rsid w:val="00212A7A"/>
    <w:rsid w:val="002136E7"/>
    <w:rsid w:val="00215786"/>
    <w:rsid w:val="002162D3"/>
    <w:rsid w:val="00216E26"/>
    <w:rsid w:val="0022036C"/>
    <w:rsid w:val="002206DB"/>
    <w:rsid w:val="0022106D"/>
    <w:rsid w:val="00221421"/>
    <w:rsid w:val="0022177C"/>
    <w:rsid w:val="0022182D"/>
    <w:rsid w:val="002238A0"/>
    <w:rsid w:val="00224859"/>
    <w:rsid w:val="00225A12"/>
    <w:rsid w:val="002261B3"/>
    <w:rsid w:val="00226F70"/>
    <w:rsid w:val="00230108"/>
    <w:rsid w:val="00230A0D"/>
    <w:rsid w:val="00230A12"/>
    <w:rsid w:val="00230DCE"/>
    <w:rsid w:val="002318B6"/>
    <w:rsid w:val="00231B4A"/>
    <w:rsid w:val="00233511"/>
    <w:rsid w:val="002335F1"/>
    <w:rsid w:val="00233CEF"/>
    <w:rsid w:val="00233FD0"/>
    <w:rsid w:val="002346B1"/>
    <w:rsid w:val="00234752"/>
    <w:rsid w:val="002352B0"/>
    <w:rsid w:val="002354E4"/>
    <w:rsid w:val="002358D6"/>
    <w:rsid w:val="0023687D"/>
    <w:rsid w:val="0023785E"/>
    <w:rsid w:val="002402C1"/>
    <w:rsid w:val="00240493"/>
    <w:rsid w:val="00240E14"/>
    <w:rsid w:val="00242F59"/>
    <w:rsid w:val="002438EB"/>
    <w:rsid w:val="00243942"/>
    <w:rsid w:val="002444AE"/>
    <w:rsid w:val="002446AB"/>
    <w:rsid w:val="00244B77"/>
    <w:rsid w:val="002454E7"/>
    <w:rsid w:val="002464E8"/>
    <w:rsid w:val="00246FF3"/>
    <w:rsid w:val="0024710C"/>
    <w:rsid w:val="00247350"/>
    <w:rsid w:val="00247E4A"/>
    <w:rsid w:val="00253036"/>
    <w:rsid w:val="00253776"/>
    <w:rsid w:val="00253D16"/>
    <w:rsid w:val="00253DC3"/>
    <w:rsid w:val="00253F51"/>
    <w:rsid w:val="00254220"/>
    <w:rsid w:val="00254250"/>
    <w:rsid w:val="0025495A"/>
    <w:rsid w:val="002549F6"/>
    <w:rsid w:val="00255417"/>
    <w:rsid w:val="00255482"/>
    <w:rsid w:val="002571C2"/>
    <w:rsid w:val="00257989"/>
    <w:rsid w:val="002601BC"/>
    <w:rsid w:val="00260517"/>
    <w:rsid w:val="00260A40"/>
    <w:rsid w:val="00260E6B"/>
    <w:rsid w:val="002610F5"/>
    <w:rsid w:val="00261B43"/>
    <w:rsid w:val="002623ED"/>
    <w:rsid w:val="0026243D"/>
    <w:rsid w:val="002625CA"/>
    <w:rsid w:val="00262FED"/>
    <w:rsid w:val="0026383D"/>
    <w:rsid w:val="0026389D"/>
    <w:rsid w:val="00263BF9"/>
    <w:rsid w:val="002642D9"/>
    <w:rsid w:val="00264D79"/>
    <w:rsid w:val="00265099"/>
    <w:rsid w:val="00265573"/>
    <w:rsid w:val="002655E0"/>
    <w:rsid w:val="00265D43"/>
    <w:rsid w:val="00267328"/>
    <w:rsid w:val="00270C99"/>
    <w:rsid w:val="00271450"/>
    <w:rsid w:val="0027233B"/>
    <w:rsid w:val="002729FC"/>
    <w:rsid w:val="00272A4E"/>
    <w:rsid w:val="00273AF9"/>
    <w:rsid w:val="00274963"/>
    <w:rsid w:val="00274F17"/>
    <w:rsid w:val="00275198"/>
    <w:rsid w:val="0027539A"/>
    <w:rsid w:val="002759AD"/>
    <w:rsid w:val="0027686B"/>
    <w:rsid w:val="002768B0"/>
    <w:rsid w:val="00277170"/>
    <w:rsid w:val="0028114C"/>
    <w:rsid w:val="00281467"/>
    <w:rsid w:val="0028147E"/>
    <w:rsid w:val="002817CE"/>
    <w:rsid w:val="00281F18"/>
    <w:rsid w:val="002830E7"/>
    <w:rsid w:val="00283AA6"/>
    <w:rsid w:val="0028432C"/>
    <w:rsid w:val="00284E46"/>
    <w:rsid w:val="0028502C"/>
    <w:rsid w:val="002857E2"/>
    <w:rsid w:val="002866A4"/>
    <w:rsid w:val="002870A9"/>
    <w:rsid w:val="0028768A"/>
    <w:rsid w:val="002877E4"/>
    <w:rsid w:val="0029012A"/>
    <w:rsid w:val="00290ABD"/>
    <w:rsid w:val="00290D44"/>
    <w:rsid w:val="00292773"/>
    <w:rsid w:val="002928E9"/>
    <w:rsid w:val="00292B6E"/>
    <w:rsid w:val="00292DAB"/>
    <w:rsid w:val="00293E05"/>
    <w:rsid w:val="00294F67"/>
    <w:rsid w:val="0029620F"/>
    <w:rsid w:val="00297459"/>
    <w:rsid w:val="0029748B"/>
    <w:rsid w:val="002A050C"/>
    <w:rsid w:val="002A0B4A"/>
    <w:rsid w:val="002A1348"/>
    <w:rsid w:val="002A1E3D"/>
    <w:rsid w:val="002A344B"/>
    <w:rsid w:val="002A34C1"/>
    <w:rsid w:val="002A4310"/>
    <w:rsid w:val="002A4ED6"/>
    <w:rsid w:val="002A5BA6"/>
    <w:rsid w:val="002A5C43"/>
    <w:rsid w:val="002A6475"/>
    <w:rsid w:val="002A6CDA"/>
    <w:rsid w:val="002A6D54"/>
    <w:rsid w:val="002A6DC3"/>
    <w:rsid w:val="002A729E"/>
    <w:rsid w:val="002A7FB5"/>
    <w:rsid w:val="002B087A"/>
    <w:rsid w:val="002B0D64"/>
    <w:rsid w:val="002B262D"/>
    <w:rsid w:val="002B356B"/>
    <w:rsid w:val="002B35F2"/>
    <w:rsid w:val="002B3BA1"/>
    <w:rsid w:val="002B49AC"/>
    <w:rsid w:val="002B506F"/>
    <w:rsid w:val="002B6125"/>
    <w:rsid w:val="002B613D"/>
    <w:rsid w:val="002B6269"/>
    <w:rsid w:val="002B6F72"/>
    <w:rsid w:val="002B784A"/>
    <w:rsid w:val="002B7CBB"/>
    <w:rsid w:val="002C0E27"/>
    <w:rsid w:val="002C1B99"/>
    <w:rsid w:val="002C22AB"/>
    <w:rsid w:val="002C2E98"/>
    <w:rsid w:val="002C3DD9"/>
    <w:rsid w:val="002C430B"/>
    <w:rsid w:val="002C47FD"/>
    <w:rsid w:val="002C5733"/>
    <w:rsid w:val="002C57E5"/>
    <w:rsid w:val="002C7704"/>
    <w:rsid w:val="002C7F13"/>
    <w:rsid w:val="002D0576"/>
    <w:rsid w:val="002D122E"/>
    <w:rsid w:val="002D14BB"/>
    <w:rsid w:val="002D1528"/>
    <w:rsid w:val="002D188D"/>
    <w:rsid w:val="002D1964"/>
    <w:rsid w:val="002D206A"/>
    <w:rsid w:val="002D2ED5"/>
    <w:rsid w:val="002D32E8"/>
    <w:rsid w:val="002D358E"/>
    <w:rsid w:val="002D385C"/>
    <w:rsid w:val="002D4B04"/>
    <w:rsid w:val="002D65B3"/>
    <w:rsid w:val="002D7328"/>
    <w:rsid w:val="002D7BE5"/>
    <w:rsid w:val="002D7D6B"/>
    <w:rsid w:val="002E0179"/>
    <w:rsid w:val="002E2247"/>
    <w:rsid w:val="002E2A93"/>
    <w:rsid w:val="002E30A2"/>
    <w:rsid w:val="002E4E8A"/>
    <w:rsid w:val="002E50CA"/>
    <w:rsid w:val="002E55FC"/>
    <w:rsid w:val="002E79A6"/>
    <w:rsid w:val="002E7E2E"/>
    <w:rsid w:val="002E7FE2"/>
    <w:rsid w:val="002F08DF"/>
    <w:rsid w:val="002F1841"/>
    <w:rsid w:val="002F3A16"/>
    <w:rsid w:val="002F41A4"/>
    <w:rsid w:val="002F52A9"/>
    <w:rsid w:val="002F65AD"/>
    <w:rsid w:val="002F724D"/>
    <w:rsid w:val="002F7283"/>
    <w:rsid w:val="002F732E"/>
    <w:rsid w:val="002F7DF0"/>
    <w:rsid w:val="0030031C"/>
    <w:rsid w:val="003018A8"/>
    <w:rsid w:val="00301D68"/>
    <w:rsid w:val="0030202A"/>
    <w:rsid w:val="003025B2"/>
    <w:rsid w:val="003027C7"/>
    <w:rsid w:val="003031DA"/>
    <w:rsid w:val="003038CB"/>
    <w:rsid w:val="00303AF0"/>
    <w:rsid w:val="00304F78"/>
    <w:rsid w:val="003056D2"/>
    <w:rsid w:val="003059DF"/>
    <w:rsid w:val="00306A1D"/>
    <w:rsid w:val="00306B85"/>
    <w:rsid w:val="0030750A"/>
    <w:rsid w:val="00307729"/>
    <w:rsid w:val="0031028C"/>
    <w:rsid w:val="00310DE6"/>
    <w:rsid w:val="00312651"/>
    <w:rsid w:val="00312674"/>
    <w:rsid w:val="00312A63"/>
    <w:rsid w:val="00313634"/>
    <w:rsid w:val="0031395E"/>
    <w:rsid w:val="00314024"/>
    <w:rsid w:val="00314848"/>
    <w:rsid w:val="00315606"/>
    <w:rsid w:val="00315869"/>
    <w:rsid w:val="003173DE"/>
    <w:rsid w:val="0032133E"/>
    <w:rsid w:val="00321835"/>
    <w:rsid w:val="00321949"/>
    <w:rsid w:val="0032237A"/>
    <w:rsid w:val="003223DF"/>
    <w:rsid w:val="00322C0F"/>
    <w:rsid w:val="00322F05"/>
    <w:rsid w:val="00323813"/>
    <w:rsid w:val="00323961"/>
    <w:rsid w:val="00323FEF"/>
    <w:rsid w:val="00324F79"/>
    <w:rsid w:val="00326A8C"/>
    <w:rsid w:val="00327401"/>
    <w:rsid w:val="003277DD"/>
    <w:rsid w:val="00330524"/>
    <w:rsid w:val="0033134F"/>
    <w:rsid w:val="0033179E"/>
    <w:rsid w:val="003317A4"/>
    <w:rsid w:val="00331829"/>
    <w:rsid w:val="00331E80"/>
    <w:rsid w:val="003346EB"/>
    <w:rsid w:val="003351E3"/>
    <w:rsid w:val="00335563"/>
    <w:rsid w:val="00335570"/>
    <w:rsid w:val="00335933"/>
    <w:rsid w:val="003370E4"/>
    <w:rsid w:val="003379D2"/>
    <w:rsid w:val="00337F67"/>
    <w:rsid w:val="00340077"/>
    <w:rsid w:val="0034077B"/>
    <w:rsid w:val="00341EA2"/>
    <w:rsid w:val="00342216"/>
    <w:rsid w:val="003437BD"/>
    <w:rsid w:val="00343D67"/>
    <w:rsid w:val="003440F0"/>
    <w:rsid w:val="00345BE9"/>
    <w:rsid w:val="003473E6"/>
    <w:rsid w:val="003478CF"/>
    <w:rsid w:val="003479A7"/>
    <w:rsid w:val="00350E98"/>
    <w:rsid w:val="00350FC8"/>
    <w:rsid w:val="003515CF"/>
    <w:rsid w:val="00351B85"/>
    <w:rsid w:val="00351C8A"/>
    <w:rsid w:val="003520AD"/>
    <w:rsid w:val="003531A7"/>
    <w:rsid w:val="003531CC"/>
    <w:rsid w:val="00354510"/>
    <w:rsid w:val="00354538"/>
    <w:rsid w:val="00355CE7"/>
    <w:rsid w:val="00355D1C"/>
    <w:rsid w:val="00356645"/>
    <w:rsid w:val="003566C9"/>
    <w:rsid w:val="00356733"/>
    <w:rsid w:val="00357426"/>
    <w:rsid w:val="00357D54"/>
    <w:rsid w:val="00357F5D"/>
    <w:rsid w:val="003608E7"/>
    <w:rsid w:val="00360AA1"/>
    <w:rsid w:val="00364AF3"/>
    <w:rsid w:val="00364E6F"/>
    <w:rsid w:val="00364EA5"/>
    <w:rsid w:val="0036500A"/>
    <w:rsid w:val="00365232"/>
    <w:rsid w:val="003652B8"/>
    <w:rsid w:val="00367ED2"/>
    <w:rsid w:val="00371621"/>
    <w:rsid w:val="00371A66"/>
    <w:rsid w:val="00373D2C"/>
    <w:rsid w:val="003743FE"/>
    <w:rsid w:val="00374532"/>
    <w:rsid w:val="00374631"/>
    <w:rsid w:val="00374662"/>
    <w:rsid w:val="003747C8"/>
    <w:rsid w:val="00374868"/>
    <w:rsid w:val="00374971"/>
    <w:rsid w:val="00374B8E"/>
    <w:rsid w:val="00374F1F"/>
    <w:rsid w:val="00375DF4"/>
    <w:rsid w:val="00375E87"/>
    <w:rsid w:val="00376000"/>
    <w:rsid w:val="00376313"/>
    <w:rsid w:val="00376BC7"/>
    <w:rsid w:val="003771C7"/>
    <w:rsid w:val="00377455"/>
    <w:rsid w:val="00381851"/>
    <w:rsid w:val="00382013"/>
    <w:rsid w:val="00382518"/>
    <w:rsid w:val="00382660"/>
    <w:rsid w:val="00382925"/>
    <w:rsid w:val="00382994"/>
    <w:rsid w:val="00382B36"/>
    <w:rsid w:val="00382D03"/>
    <w:rsid w:val="00382E48"/>
    <w:rsid w:val="00383004"/>
    <w:rsid w:val="003830CE"/>
    <w:rsid w:val="00384830"/>
    <w:rsid w:val="0038560D"/>
    <w:rsid w:val="00385A84"/>
    <w:rsid w:val="00385E26"/>
    <w:rsid w:val="00385E2D"/>
    <w:rsid w:val="00385E69"/>
    <w:rsid w:val="00387CE3"/>
    <w:rsid w:val="003907E8"/>
    <w:rsid w:val="0039262E"/>
    <w:rsid w:val="00393203"/>
    <w:rsid w:val="003937F3"/>
    <w:rsid w:val="00393D9B"/>
    <w:rsid w:val="00394EA2"/>
    <w:rsid w:val="00397EBD"/>
    <w:rsid w:val="003A009E"/>
    <w:rsid w:val="003A15D6"/>
    <w:rsid w:val="003A19D1"/>
    <w:rsid w:val="003A2662"/>
    <w:rsid w:val="003A3738"/>
    <w:rsid w:val="003A386B"/>
    <w:rsid w:val="003A48A8"/>
    <w:rsid w:val="003A5145"/>
    <w:rsid w:val="003A6D71"/>
    <w:rsid w:val="003A7734"/>
    <w:rsid w:val="003A7FBA"/>
    <w:rsid w:val="003B1B79"/>
    <w:rsid w:val="003B1FB7"/>
    <w:rsid w:val="003B2445"/>
    <w:rsid w:val="003B3950"/>
    <w:rsid w:val="003B5F32"/>
    <w:rsid w:val="003B6064"/>
    <w:rsid w:val="003B6A37"/>
    <w:rsid w:val="003B6A5F"/>
    <w:rsid w:val="003B77A1"/>
    <w:rsid w:val="003B7DF0"/>
    <w:rsid w:val="003B7E9A"/>
    <w:rsid w:val="003B7F05"/>
    <w:rsid w:val="003C08EC"/>
    <w:rsid w:val="003C2894"/>
    <w:rsid w:val="003C2904"/>
    <w:rsid w:val="003C316C"/>
    <w:rsid w:val="003C3A1E"/>
    <w:rsid w:val="003C4295"/>
    <w:rsid w:val="003C4A2E"/>
    <w:rsid w:val="003C4F39"/>
    <w:rsid w:val="003C505B"/>
    <w:rsid w:val="003C5599"/>
    <w:rsid w:val="003C6F0F"/>
    <w:rsid w:val="003C71CF"/>
    <w:rsid w:val="003C789D"/>
    <w:rsid w:val="003C7ABE"/>
    <w:rsid w:val="003D1F6C"/>
    <w:rsid w:val="003D38A6"/>
    <w:rsid w:val="003D4560"/>
    <w:rsid w:val="003D4A56"/>
    <w:rsid w:val="003D5315"/>
    <w:rsid w:val="003D5827"/>
    <w:rsid w:val="003D5B35"/>
    <w:rsid w:val="003D6552"/>
    <w:rsid w:val="003D6B4D"/>
    <w:rsid w:val="003D7B2C"/>
    <w:rsid w:val="003E18FC"/>
    <w:rsid w:val="003E1917"/>
    <w:rsid w:val="003E259A"/>
    <w:rsid w:val="003E3482"/>
    <w:rsid w:val="003E39E1"/>
    <w:rsid w:val="003E3E93"/>
    <w:rsid w:val="003E41B9"/>
    <w:rsid w:val="003E4588"/>
    <w:rsid w:val="003E4C57"/>
    <w:rsid w:val="003E5211"/>
    <w:rsid w:val="003E5A12"/>
    <w:rsid w:val="003E63DE"/>
    <w:rsid w:val="003E6600"/>
    <w:rsid w:val="003E6732"/>
    <w:rsid w:val="003E7301"/>
    <w:rsid w:val="003E7F30"/>
    <w:rsid w:val="003F2487"/>
    <w:rsid w:val="003F31D2"/>
    <w:rsid w:val="003F3716"/>
    <w:rsid w:val="003F3DC0"/>
    <w:rsid w:val="003F4845"/>
    <w:rsid w:val="003F4A30"/>
    <w:rsid w:val="003F4DBE"/>
    <w:rsid w:val="003F557E"/>
    <w:rsid w:val="003F565C"/>
    <w:rsid w:val="003F6A2F"/>
    <w:rsid w:val="003F6BF4"/>
    <w:rsid w:val="003F7B40"/>
    <w:rsid w:val="003F7CC5"/>
    <w:rsid w:val="00400D68"/>
    <w:rsid w:val="00401711"/>
    <w:rsid w:val="00401A63"/>
    <w:rsid w:val="00403AE6"/>
    <w:rsid w:val="00406269"/>
    <w:rsid w:val="004067AD"/>
    <w:rsid w:val="00406BB8"/>
    <w:rsid w:val="0040788E"/>
    <w:rsid w:val="00407EE0"/>
    <w:rsid w:val="00410613"/>
    <w:rsid w:val="00410F7B"/>
    <w:rsid w:val="004119CA"/>
    <w:rsid w:val="00411D6F"/>
    <w:rsid w:val="00412520"/>
    <w:rsid w:val="00412599"/>
    <w:rsid w:val="00413A4B"/>
    <w:rsid w:val="00413D40"/>
    <w:rsid w:val="004143D0"/>
    <w:rsid w:val="00414806"/>
    <w:rsid w:val="00415190"/>
    <w:rsid w:val="004166B8"/>
    <w:rsid w:val="0041682F"/>
    <w:rsid w:val="00416B13"/>
    <w:rsid w:val="00416C29"/>
    <w:rsid w:val="0041765F"/>
    <w:rsid w:val="0041788B"/>
    <w:rsid w:val="00417EFA"/>
    <w:rsid w:val="004209AD"/>
    <w:rsid w:val="00421A12"/>
    <w:rsid w:val="00421DFC"/>
    <w:rsid w:val="00424B78"/>
    <w:rsid w:val="00426051"/>
    <w:rsid w:val="004301D8"/>
    <w:rsid w:val="00431655"/>
    <w:rsid w:val="004321DA"/>
    <w:rsid w:val="00432C88"/>
    <w:rsid w:val="004335E8"/>
    <w:rsid w:val="00433708"/>
    <w:rsid w:val="00433A74"/>
    <w:rsid w:val="0043668F"/>
    <w:rsid w:val="00436A3E"/>
    <w:rsid w:val="00436CB4"/>
    <w:rsid w:val="00437068"/>
    <w:rsid w:val="0043777E"/>
    <w:rsid w:val="00440B24"/>
    <w:rsid w:val="00440D78"/>
    <w:rsid w:val="004412CE"/>
    <w:rsid w:val="00441A2A"/>
    <w:rsid w:val="00441A34"/>
    <w:rsid w:val="004420F6"/>
    <w:rsid w:val="00442B6A"/>
    <w:rsid w:val="00442BAC"/>
    <w:rsid w:val="004434B0"/>
    <w:rsid w:val="0044359A"/>
    <w:rsid w:val="004444BF"/>
    <w:rsid w:val="00444574"/>
    <w:rsid w:val="00444F65"/>
    <w:rsid w:val="00445B6A"/>
    <w:rsid w:val="00446720"/>
    <w:rsid w:val="00446D30"/>
    <w:rsid w:val="004476C6"/>
    <w:rsid w:val="00447DA4"/>
    <w:rsid w:val="0045130C"/>
    <w:rsid w:val="00452243"/>
    <w:rsid w:val="00453578"/>
    <w:rsid w:val="0045392E"/>
    <w:rsid w:val="00454779"/>
    <w:rsid w:val="004549D3"/>
    <w:rsid w:val="00454A58"/>
    <w:rsid w:val="00455214"/>
    <w:rsid w:val="00455755"/>
    <w:rsid w:val="00455FFD"/>
    <w:rsid w:val="00456136"/>
    <w:rsid w:val="00456836"/>
    <w:rsid w:val="00456CBE"/>
    <w:rsid w:val="00456D5A"/>
    <w:rsid w:val="00456D8D"/>
    <w:rsid w:val="00456FB6"/>
    <w:rsid w:val="00457417"/>
    <w:rsid w:val="00457AA6"/>
    <w:rsid w:val="0046020F"/>
    <w:rsid w:val="0046133D"/>
    <w:rsid w:val="00461474"/>
    <w:rsid w:val="004619DF"/>
    <w:rsid w:val="00461E5C"/>
    <w:rsid w:val="004620AB"/>
    <w:rsid w:val="00463B61"/>
    <w:rsid w:val="00463B9B"/>
    <w:rsid w:val="00464328"/>
    <w:rsid w:val="00466D9B"/>
    <w:rsid w:val="0047052B"/>
    <w:rsid w:val="0047188C"/>
    <w:rsid w:val="00471DED"/>
    <w:rsid w:val="00472C9B"/>
    <w:rsid w:val="00473A5E"/>
    <w:rsid w:val="0047470A"/>
    <w:rsid w:val="004753BF"/>
    <w:rsid w:val="004758A9"/>
    <w:rsid w:val="00476273"/>
    <w:rsid w:val="004764D4"/>
    <w:rsid w:val="004764FA"/>
    <w:rsid w:val="00476B9F"/>
    <w:rsid w:val="00477399"/>
    <w:rsid w:val="004778AC"/>
    <w:rsid w:val="0047795A"/>
    <w:rsid w:val="0048020B"/>
    <w:rsid w:val="004818EC"/>
    <w:rsid w:val="00483D82"/>
    <w:rsid w:val="0048436B"/>
    <w:rsid w:val="004849B1"/>
    <w:rsid w:val="00484A31"/>
    <w:rsid w:val="00484E8B"/>
    <w:rsid w:val="00485728"/>
    <w:rsid w:val="004858D1"/>
    <w:rsid w:val="00485E64"/>
    <w:rsid w:val="00485F7A"/>
    <w:rsid w:val="004864DA"/>
    <w:rsid w:val="004868EE"/>
    <w:rsid w:val="00486DCB"/>
    <w:rsid w:val="004872BC"/>
    <w:rsid w:val="0048732B"/>
    <w:rsid w:val="004874A4"/>
    <w:rsid w:val="00487B88"/>
    <w:rsid w:val="00490673"/>
    <w:rsid w:val="00490718"/>
    <w:rsid w:val="00491439"/>
    <w:rsid w:val="0049245C"/>
    <w:rsid w:val="0049327C"/>
    <w:rsid w:val="0049333D"/>
    <w:rsid w:val="00493517"/>
    <w:rsid w:val="00493FAC"/>
    <w:rsid w:val="00494355"/>
    <w:rsid w:val="0049486F"/>
    <w:rsid w:val="00494945"/>
    <w:rsid w:val="00495640"/>
    <w:rsid w:val="00495E07"/>
    <w:rsid w:val="004965F1"/>
    <w:rsid w:val="00497F70"/>
    <w:rsid w:val="004A03E5"/>
    <w:rsid w:val="004A16FA"/>
    <w:rsid w:val="004A1808"/>
    <w:rsid w:val="004A1E34"/>
    <w:rsid w:val="004A1FDD"/>
    <w:rsid w:val="004A4170"/>
    <w:rsid w:val="004A4853"/>
    <w:rsid w:val="004A503D"/>
    <w:rsid w:val="004A55FE"/>
    <w:rsid w:val="004A563C"/>
    <w:rsid w:val="004A56D0"/>
    <w:rsid w:val="004B1374"/>
    <w:rsid w:val="004B141F"/>
    <w:rsid w:val="004B19F3"/>
    <w:rsid w:val="004B2139"/>
    <w:rsid w:val="004B3040"/>
    <w:rsid w:val="004B3187"/>
    <w:rsid w:val="004B3A62"/>
    <w:rsid w:val="004B4A8D"/>
    <w:rsid w:val="004B4F7F"/>
    <w:rsid w:val="004B5B2A"/>
    <w:rsid w:val="004B5D48"/>
    <w:rsid w:val="004B7BCB"/>
    <w:rsid w:val="004B7C90"/>
    <w:rsid w:val="004B7EE1"/>
    <w:rsid w:val="004B7EE5"/>
    <w:rsid w:val="004C0028"/>
    <w:rsid w:val="004C0410"/>
    <w:rsid w:val="004C0E28"/>
    <w:rsid w:val="004C190E"/>
    <w:rsid w:val="004C2710"/>
    <w:rsid w:val="004C3B1B"/>
    <w:rsid w:val="004C456B"/>
    <w:rsid w:val="004C4887"/>
    <w:rsid w:val="004C4D5F"/>
    <w:rsid w:val="004C4F8D"/>
    <w:rsid w:val="004C5606"/>
    <w:rsid w:val="004C57D2"/>
    <w:rsid w:val="004D35E8"/>
    <w:rsid w:val="004D44AA"/>
    <w:rsid w:val="004D48EE"/>
    <w:rsid w:val="004D614C"/>
    <w:rsid w:val="004E0520"/>
    <w:rsid w:val="004E079A"/>
    <w:rsid w:val="004E1281"/>
    <w:rsid w:val="004E1DAE"/>
    <w:rsid w:val="004E25A6"/>
    <w:rsid w:val="004E2837"/>
    <w:rsid w:val="004E2886"/>
    <w:rsid w:val="004E4392"/>
    <w:rsid w:val="004E54C3"/>
    <w:rsid w:val="004E741E"/>
    <w:rsid w:val="004F0101"/>
    <w:rsid w:val="004F0FDD"/>
    <w:rsid w:val="004F13A0"/>
    <w:rsid w:val="004F1D39"/>
    <w:rsid w:val="004F1EEB"/>
    <w:rsid w:val="004F5433"/>
    <w:rsid w:val="004F5759"/>
    <w:rsid w:val="004F5786"/>
    <w:rsid w:val="004F6475"/>
    <w:rsid w:val="004F66A2"/>
    <w:rsid w:val="004F68A8"/>
    <w:rsid w:val="004F7069"/>
    <w:rsid w:val="004F7405"/>
    <w:rsid w:val="004F765C"/>
    <w:rsid w:val="0050001C"/>
    <w:rsid w:val="005002E4"/>
    <w:rsid w:val="00500533"/>
    <w:rsid w:val="0050172E"/>
    <w:rsid w:val="00501949"/>
    <w:rsid w:val="00501B80"/>
    <w:rsid w:val="00502E51"/>
    <w:rsid w:val="00504116"/>
    <w:rsid w:val="005047DF"/>
    <w:rsid w:val="00504DF3"/>
    <w:rsid w:val="00505D33"/>
    <w:rsid w:val="005073D4"/>
    <w:rsid w:val="00507CD0"/>
    <w:rsid w:val="00507EDA"/>
    <w:rsid w:val="00510D4B"/>
    <w:rsid w:val="005110A3"/>
    <w:rsid w:val="005110ED"/>
    <w:rsid w:val="005123F4"/>
    <w:rsid w:val="00513E14"/>
    <w:rsid w:val="0051527A"/>
    <w:rsid w:val="005154C1"/>
    <w:rsid w:val="005162AB"/>
    <w:rsid w:val="005168A5"/>
    <w:rsid w:val="005171F0"/>
    <w:rsid w:val="00521122"/>
    <w:rsid w:val="00521D5A"/>
    <w:rsid w:val="00522389"/>
    <w:rsid w:val="005223C5"/>
    <w:rsid w:val="0052248B"/>
    <w:rsid w:val="00522A55"/>
    <w:rsid w:val="0052351B"/>
    <w:rsid w:val="00523640"/>
    <w:rsid w:val="005240BB"/>
    <w:rsid w:val="0052460C"/>
    <w:rsid w:val="0052702F"/>
    <w:rsid w:val="005271C3"/>
    <w:rsid w:val="005303C2"/>
    <w:rsid w:val="00531109"/>
    <w:rsid w:val="0053113A"/>
    <w:rsid w:val="0053274E"/>
    <w:rsid w:val="00532CD9"/>
    <w:rsid w:val="00535912"/>
    <w:rsid w:val="00536580"/>
    <w:rsid w:val="00536AE7"/>
    <w:rsid w:val="00536CD8"/>
    <w:rsid w:val="00537675"/>
    <w:rsid w:val="00537A19"/>
    <w:rsid w:val="00537B3E"/>
    <w:rsid w:val="00540F6C"/>
    <w:rsid w:val="00541146"/>
    <w:rsid w:val="0054184F"/>
    <w:rsid w:val="005418E0"/>
    <w:rsid w:val="00541ADE"/>
    <w:rsid w:val="00542088"/>
    <w:rsid w:val="00542814"/>
    <w:rsid w:val="00544806"/>
    <w:rsid w:val="0054514C"/>
    <w:rsid w:val="00545CC2"/>
    <w:rsid w:val="00546238"/>
    <w:rsid w:val="00546E93"/>
    <w:rsid w:val="005475C9"/>
    <w:rsid w:val="00547D3F"/>
    <w:rsid w:val="0055025C"/>
    <w:rsid w:val="005506FD"/>
    <w:rsid w:val="0055084F"/>
    <w:rsid w:val="00550E1F"/>
    <w:rsid w:val="0055122F"/>
    <w:rsid w:val="00552271"/>
    <w:rsid w:val="00552A11"/>
    <w:rsid w:val="00553862"/>
    <w:rsid w:val="0055445F"/>
    <w:rsid w:val="00555C74"/>
    <w:rsid w:val="005563D4"/>
    <w:rsid w:val="0055686E"/>
    <w:rsid w:val="0055708F"/>
    <w:rsid w:val="00557446"/>
    <w:rsid w:val="005577D9"/>
    <w:rsid w:val="00557915"/>
    <w:rsid w:val="00557D63"/>
    <w:rsid w:val="0056129A"/>
    <w:rsid w:val="00561502"/>
    <w:rsid w:val="005619EF"/>
    <w:rsid w:val="00561DA8"/>
    <w:rsid w:val="00562CB2"/>
    <w:rsid w:val="00562FCD"/>
    <w:rsid w:val="00564FB4"/>
    <w:rsid w:val="005650EB"/>
    <w:rsid w:val="005666C4"/>
    <w:rsid w:val="00566802"/>
    <w:rsid w:val="00566865"/>
    <w:rsid w:val="00566908"/>
    <w:rsid w:val="00567995"/>
    <w:rsid w:val="005679D0"/>
    <w:rsid w:val="00567D4A"/>
    <w:rsid w:val="00570723"/>
    <w:rsid w:val="00570B31"/>
    <w:rsid w:val="00570C45"/>
    <w:rsid w:val="005715F7"/>
    <w:rsid w:val="00571D6D"/>
    <w:rsid w:val="00572F46"/>
    <w:rsid w:val="0057376B"/>
    <w:rsid w:val="00573CC4"/>
    <w:rsid w:val="00574A02"/>
    <w:rsid w:val="00576A03"/>
    <w:rsid w:val="00576A54"/>
    <w:rsid w:val="00577583"/>
    <w:rsid w:val="00577DC6"/>
    <w:rsid w:val="00581546"/>
    <w:rsid w:val="005816F4"/>
    <w:rsid w:val="0058199A"/>
    <w:rsid w:val="00581BDF"/>
    <w:rsid w:val="00582260"/>
    <w:rsid w:val="00582A00"/>
    <w:rsid w:val="00583257"/>
    <w:rsid w:val="00583D44"/>
    <w:rsid w:val="00584DB9"/>
    <w:rsid w:val="005850A4"/>
    <w:rsid w:val="00585174"/>
    <w:rsid w:val="00585ADF"/>
    <w:rsid w:val="00585D33"/>
    <w:rsid w:val="005867C7"/>
    <w:rsid w:val="00586AC4"/>
    <w:rsid w:val="00587569"/>
    <w:rsid w:val="00587B48"/>
    <w:rsid w:val="00587DE4"/>
    <w:rsid w:val="005900BE"/>
    <w:rsid w:val="0059038C"/>
    <w:rsid w:val="0059137C"/>
    <w:rsid w:val="005921E2"/>
    <w:rsid w:val="00593274"/>
    <w:rsid w:val="005932F0"/>
    <w:rsid w:val="0059399A"/>
    <w:rsid w:val="00594E87"/>
    <w:rsid w:val="005950E5"/>
    <w:rsid w:val="00595E1D"/>
    <w:rsid w:val="0059601F"/>
    <w:rsid w:val="00596312"/>
    <w:rsid w:val="00596AB9"/>
    <w:rsid w:val="00596F4B"/>
    <w:rsid w:val="00597309"/>
    <w:rsid w:val="005A08D4"/>
    <w:rsid w:val="005A1530"/>
    <w:rsid w:val="005A1772"/>
    <w:rsid w:val="005A1D14"/>
    <w:rsid w:val="005A28D1"/>
    <w:rsid w:val="005A2F79"/>
    <w:rsid w:val="005A45CE"/>
    <w:rsid w:val="005A4789"/>
    <w:rsid w:val="005A4CB8"/>
    <w:rsid w:val="005A4CD3"/>
    <w:rsid w:val="005A6F7C"/>
    <w:rsid w:val="005B00E1"/>
    <w:rsid w:val="005B0B8B"/>
    <w:rsid w:val="005B132F"/>
    <w:rsid w:val="005B15EB"/>
    <w:rsid w:val="005B18B2"/>
    <w:rsid w:val="005B2F30"/>
    <w:rsid w:val="005B38E7"/>
    <w:rsid w:val="005B3A10"/>
    <w:rsid w:val="005B3B94"/>
    <w:rsid w:val="005B40A6"/>
    <w:rsid w:val="005B41F0"/>
    <w:rsid w:val="005B499B"/>
    <w:rsid w:val="005B6C5F"/>
    <w:rsid w:val="005B7029"/>
    <w:rsid w:val="005B71BF"/>
    <w:rsid w:val="005C0180"/>
    <w:rsid w:val="005C01B7"/>
    <w:rsid w:val="005C026D"/>
    <w:rsid w:val="005C376A"/>
    <w:rsid w:val="005C39C4"/>
    <w:rsid w:val="005C4C9F"/>
    <w:rsid w:val="005C4E69"/>
    <w:rsid w:val="005C5320"/>
    <w:rsid w:val="005C5C41"/>
    <w:rsid w:val="005C6D40"/>
    <w:rsid w:val="005C7BFF"/>
    <w:rsid w:val="005D07FC"/>
    <w:rsid w:val="005D0F0E"/>
    <w:rsid w:val="005D128E"/>
    <w:rsid w:val="005D2A79"/>
    <w:rsid w:val="005D2CA2"/>
    <w:rsid w:val="005D3004"/>
    <w:rsid w:val="005D336A"/>
    <w:rsid w:val="005D3A0E"/>
    <w:rsid w:val="005D3CAF"/>
    <w:rsid w:val="005D3D39"/>
    <w:rsid w:val="005D734B"/>
    <w:rsid w:val="005D787E"/>
    <w:rsid w:val="005D7C39"/>
    <w:rsid w:val="005D7ECB"/>
    <w:rsid w:val="005E0810"/>
    <w:rsid w:val="005E13DF"/>
    <w:rsid w:val="005E1427"/>
    <w:rsid w:val="005E387D"/>
    <w:rsid w:val="005E3B5D"/>
    <w:rsid w:val="005E3B75"/>
    <w:rsid w:val="005E3D15"/>
    <w:rsid w:val="005E3D60"/>
    <w:rsid w:val="005E4231"/>
    <w:rsid w:val="005E49D9"/>
    <w:rsid w:val="005E4BA9"/>
    <w:rsid w:val="005E4C65"/>
    <w:rsid w:val="005E623D"/>
    <w:rsid w:val="005E689D"/>
    <w:rsid w:val="005E6B76"/>
    <w:rsid w:val="005E7A7B"/>
    <w:rsid w:val="005F017F"/>
    <w:rsid w:val="005F0759"/>
    <w:rsid w:val="005F26B6"/>
    <w:rsid w:val="005F2946"/>
    <w:rsid w:val="005F2AD3"/>
    <w:rsid w:val="005F2C77"/>
    <w:rsid w:val="005F322C"/>
    <w:rsid w:val="005F34C6"/>
    <w:rsid w:val="005F4318"/>
    <w:rsid w:val="005F49B8"/>
    <w:rsid w:val="005F4F8E"/>
    <w:rsid w:val="005F54A4"/>
    <w:rsid w:val="005F56D8"/>
    <w:rsid w:val="005F71D1"/>
    <w:rsid w:val="005F7D4A"/>
    <w:rsid w:val="0060035F"/>
    <w:rsid w:val="00600362"/>
    <w:rsid w:val="006005EB"/>
    <w:rsid w:val="00600AFD"/>
    <w:rsid w:val="0060143E"/>
    <w:rsid w:val="006014D7"/>
    <w:rsid w:val="00602142"/>
    <w:rsid w:val="00603BEC"/>
    <w:rsid w:val="00603F10"/>
    <w:rsid w:val="00603FE7"/>
    <w:rsid w:val="00604A7A"/>
    <w:rsid w:val="00604DAA"/>
    <w:rsid w:val="00604DAD"/>
    <w:rsid w:val="00605A18"/>
    <w:rsid w:val="00605FDE"/>
    <w:rsid w:val="00606344"/>
    <w:rsid w:val="00606C48"/>
    <w:rsid w:val="006070D4"/>
    <w:rsid w:val="00607205"/>
    <w:rsid w:val="006074E4"/>
    <w:rsid w:val="00607EA4"/>
    <w:rsid w:val="00610260"/>
    <w:rsid w:val="0061104A"/>
    <w:rsid w:val="006112D1"/>
    <w:rsid w:val="006112FA"/>
    <w:rsid w:val="00611305"/>
    <w:rsid w:val="00611601"/>
    <w:rsid w:val="00613259"/>
    <w:rsid w:val="00615997"/>
    <w:rsid w:val="00616B77"/>
    <w:rsid w:val="006170C1"/>
    <w:rsid w:val="006177F8"/>
    <w:rsid w:val="006200CF"/>
    <w:rsid w:val="00620205"/>
    <w:rsid w:val="006223BA"/>
    <w:rsid w:val="006229C2"/>
    <w:rsid w:val="00622A86"/>
    <w:rsid w:val="00622D42"/>
    <w:rsid w:val="00622F63"/>
    <w:rsid w:val="0062333A"/>
    <w:rsid w:val="00623402"/>
    <w:rsid w:val="00623508"/>
    <w:rsid w:val="00623BF3"/>
    <w:rsid w:val="00624357"/>
    <w:rsid w:val="00624B34"/>
    <w:rsid w:val="00624D6B"/>
    <w:rsid w:val="00625B93"/>
    <w:rsid w:val="006261D8"/>
    <w:rsid w:val="006262B9"/>
    <w:rsid w:val="00626AD6"/>
    <w:rsid w:val="00626CB1"/>
    <w:rsid w:val="00626EDD"/>
    <w:rsid w:val="006308E9"/>
    <w:rsid w:val="00630F50"/>
    <w:rsid w:val="00633563"/>
    <w:rsid w:val="00633624"/>
    <w:rsid w:val="00636175"/>
    <w:rsid w:val="0063625B"/>
    <w:rsid w:val="00636271"/>
    <w:rsid w:val="006362EB"/>
    <w:rsid w:val="00637180"/>
    <w:rsid w:val="006378C0"/>
    <w:rsid w:val="006378CE"/>
    <w:rsid w:val="00637CE4"/>
    <w:rsid w:val="00640797"/>
    <w:rsid w:val="006412B2"/>
    <w:rsid w:val="00642105"/>
    <w:rsid w:val="00642740"/>
    <w:rsid w:val="00642BF0"/>
    <w:rsid w:val="00643BA8"/>
    <w:rsid w:val="00643C06"/>
    <w:rsid w:val="00643C5A"/>
    <w:rsid w:val="00644B96"/>
    <w:rsid w:val="00645372"/>
    <w:rsid w:val="0064765C"/>
    <w:rsid w:val="0064796F"/>
    <w:rsid w:val="006500F0"/>
    <w:rsid w:val="006502FA"/>
    <w:rsid w:val="00650E41"/>
    <w:rsid w:val="00653D8D"/>
    <w:rsid w:val="00654468"/>
    <w:rsid w:val="00654871"/>
    <w:rsid w:val="00654EB8"/>
    <w:rsid w:val="00655A79"/>
    <w:rsid w:val="0065733E"/>
    <w:rsid w:val="0065753A"/>
    <w:rsid w:val="006578AF"/>
    <w:rsid w:val="00657B21"/>
    <w:rsid w:val="0066012F"/>
    <w:rsid w:val="006604BB"/>
    <w:rsid w:val="00661C40"/>
    <w:rsid w:val="00662577"/>
    <w:rsid w:val="00662BC9"/>
    <w:rsid w:val="00662BCD"/>
    <w:rsid w:val="00662F2D"/>
    <w:rsid w:val="0066319F"/>
    <w:rsid w:val="00663243"/>
    <w:rsid w:val="00663678"/>
    <w:rsid w:val="00664B03"/>
    <w:rsid w:val="006650A8"/>
    <w:rsid w:val="0066520A"/>
    <w:rsid w:val="0066600F"/>
    <w:rsid w:val="006664D6"/>
    <w:rsid w:val="00667B22"/>
    <w:rsid w:val="0067065B"/>
    <w:rsid w:val="00671018"/>
    <w:rsid w:val="006710C1"/>
    <w:rsid w:val="006712A3"/>
    <w:rsid w:val="0067304E"/>
    <w:rsid w:val="006745E5"/>
    <w:rsid w:val="006749A4"/>
    <w:rsid w:val="00674A32"/>
    <w:rsid w:val="006750E7"/>
    <w:rsid w:val="0067570D"/>
    <w:rsid w:val="00676BE2"/>
    <w:rsid w:val="00677A0E"/>
    <w:rsid w:val="00677A7C"/>
    <w:rsid w:val="00680256"/>
    <w:rsid w:val="00680C3D"/>
    <w:rsid w:val="00680E8F"/>
    <w:rsid w:val="00681181"/>
    <w:rsid w:val="00682099"/>
    <w:rsid w:val="006831D3"/>
    <w:rsid w:val="0068329F"/>
    <w:rsid w:val="00683BF5"/>
    <w:rsid w:val="00684130"/>
    <w:rsid w:val="006843E3"/>
    <w:rsid w:val="00684600"/>
    <w:rsid w:val="00684791"/>
    <w:rsid w:val="006849ED"/>
    <w:rsid w:val="006856AB"/>
    <w:rsid w:val="00685A22"/>
    <w:rsid w:val="00685B42"/>
    <w:rsid w:val="00686648"/>
    <w:rsid w:val="00690110"/>
    <w:rsid w:val="00691581"/>
    <w:rsid w:val="00692E4D"/>
    <w:rsid w:val="0069376A"/>
    <w:rsid w:val="00694D8A"/>
    <w:rsid w:val="00694F3D"/>
    <w:rsid w:val="006967EE"/>
    <w:rsid w:val="00697B41"/>
    <w:rsid w:val="00697B9F"/>
    <w:rsid w:val="006A15F6"/>
    <w:rsid w:val="006A160D"/>
    <w:rsid w:val="006A18B6"/>
    <w:rsid w:val="006A1EDC"/>
    <w:rsid w:val="006A2E17"/>
    <w:rsid w:val="006A2FB8"/>
    <w:rsid w:val="006A4342"/>
    <w:rsid w:val="006A496A"/>
    <w:rsid w:val="006A581A"/>
    <w:rsid w:val="006A5B0F"/>
    <w:rsid w:val="006A5ED6"/>
    <w:rsid w:val="006A5FF3"/>
    <w:rsid w:val="006A6EC5"/>
    <w:rsid w:val="006B0AD8"/>
    <w:rsid w:val="006B0F24"/>
    <w:rsid w:val="006B13B3"/>
    <w:rsid w:val="006B13D4"/>
    <w:rsid w:val="006B1F86"/>
    <w:rsid w:val="006B20EE"/>
    <w:rsid w:val="006B23DE"/>
    <w:rsid w:val="006B2566"/>
    <w:rsid w:val="006B2DA4"/>
    <w:rsid w:val="006B3DE8"/>
    <w:rsid w:val="006B4826"/>
    <w:rsid w:val="006B4F5E"/>
    <w:rsid w:val="006B5B8D"/>
    <w:rsid w:val="006B5D99"/>
    <w:rsid w:val="006B5DC8"/>
    <w:rsid w:val="006B687A"/>
    <w:rsid w:val="006B6B8D"/>
    <w:rsid w:val="006B6E90"/>
    <w:rsid w:val="006C0440"/>
    <w:rsid w:val="006C1614"/>
    <w:rsid w:val="006C1D8C"/>
    <w:rsid w:val="006C2C09"/>
    <w:rsid w:val="006C345F"/>
    <w:rsid w:val="006C4A86"/>
    <w:rsid w:val="006C51D5"/>
    <w:rsid w:val="006C6742"/>
    <w:rsid w:val="006C79DD"/>
    <w:rsid w:val="006D1857"/>
    <w:rsid w:val="006D1E49"/>
    <w:rsid w:val="006D2553"/>
    <w:rsid w:val="006D2C65"/>
    <w:rsid w:val="006D3DDC"/>
    <w:rsid w:val="006D4246"/>
    <w:rsid w:val="006D432E"/>
    <w:rsid w:val="006D4791"/>
    <w:rsid w:val="006D53B3"/>
    <w:rsid w:val="006D58B2"/>
    <w:rsid w:val="006D5B0E"/>
    <w:rsid w:val="006D62A4"/>
    <w:rsid w:val="006D6579"/>
    <w:rsid w:val="006D697A"/>
    <w:rsid w:val="006D6A84"/>
    <w:rsid w:val="006D6B66"/>
    <w:rsid w:val="006E0412"/>
    <w:rsid w:val="006E0A62"/>
    <w:rsid w:val="006E0DCD"/>
    <w:rsid w:val="006E15F4"/>
    <w:rsid w:val="006E1A04"/>
    <w:rsid w:val="006E1CF4"/>
    <w:rsid w:val="006E4356"/>
    <w:rsid w:val="006E4894"/>
    <w:rsid w:val="006E6044"/>
    <w:rsid w:val="006E6E42"/>
    <w:rsid w:val="006E7F4D"/>
    <w:rsid w:val="006F0AFA"/>
    <w:rsid w:val="006F1473"/>
    <w:rsid w:val="006F1B52"/>
    <w:rsid w:val="006F1DD7"/>
    <w:rsid w:val="006F27A6"/>
    <w:rsid w:val="006F2F4B"/>
    <w:rsid w:val="006F39A4"/>
    <w:rsid w:val="006F3AF4"/>
    <w:rsid w:val="006F3C83"/>
    <w:rsid w:val="006F42DE"/>
    <w:rsid w:val="006F437D"/>
    <w:rsid w:val="006F453E"/>
    <w:rsid w:val="006F4A2D"/>
    <w:rsid w:val="006F4BC4"/>
    <w:rsid w:val="006F584B"/>
    <w:rsid w:val="006F7D71"/>
    <w:rsid w:val="00701341"/>
    <w:rsid w:val="0070199E"/>
    <w:rsid w:val="00701A9A"/>
    <w:rsid w:val="0070213E"/>
    <w:rsid w:val="007050B8"/>
    <w:rsid w:val="00705B33"/>
    <w:rsid w:val="0070615E"/>
    <w:rsid w:val="0070645B"/>
    <w:rsid w:val="00706C4B"/>
    <w:rsid w:val="00706E7B"/>
    <w:rsid w:val="007074D1"/>
    <w:rsid w:val="007076E3"/>
    <w:rsid w:val="00710A58"/>
    <w:rsid w:val="007112BF"/>
    <w:rsid w:val="007116AC"/>
    <w:rsid w:val="007124A2"/>
    <w:rsid w:val="007133ED"/>
    <w:rsid w:val="00716489"/>
    <w:rsid w:val="007171DD"/>
    <w:rsid w:val="007201EE"/>
    <w:rsid w:val="00720C51"/>
    <w:rsid w:val="007212D5"/>
    <w:rsid w:val="00722040"/>
    <w:rsid w:val="00722A9D"/>
    <w:rsid w:val="007230D6"/>
    <w:rsid w:val="0072397F"/>
    <w:rsid w:val="00723E4B"/>
    <w:rsid w:val="007244AD"/>
    <w:rsid w:val="00724553"/>
    <w:rsid w:val="00724D09"/>
    <w:rsid w:val="0072563F"/>
    <w:rsid w:val="00725BF9"/>
    <w:rsid w:val="00726429"/>
    <w:rsid w:val="0072795F"/>
    <w:rsid w:val="00730972"/>
    <w:rsid w:val="00730BB2"/>
    <w:rsid w:val="00731B71"/>
    <w:rsid w:val="00732878"/>
    <w:rsid w:val="00732CFA"/>
    <w:rsid w:val="00732E2C"/>
    <w:rsid w:val="00733398"/>
    <w:rsid w:val="00734468"/>
    <w:rsid w:val="00734F53"/>
    <w:rsid w:val="007356A6"/>
    <w:rsid w:val="007359E2"/>
    <w:rsid w:val="00735ECF"/>
    <w:rsid w:val="007368A2"/>
    <w:rsid w:val="00736AA8"/>
    <w:rsid w:val="00736DE9"/>
    <w:rsid w:val="00742439"/>
    <w:rsid w:val="00743700"/>
    <w:rsid w:val="00743A10"/>
    <w:rsid w:val="00744314"/>
    <w:rsid w:val="00745514"/>
    <w:rsid w:val="00745E16"/>
    <w:rsid w:val="007465A9"/>
    <w:rsid w:val="00746947"/>
    <w:rsid w:val="00750A9C"/>
    <w:rsid w:val="00750C66"/>
    <w:rsid w:val="00752087"/>
    <w:rsid w:val="0075214B"/>
    <w:rsid w:val="00752783"/>
    <w:rsid w:val="00753A49"/>
    <w:rsid w:val="00753E0F"/>
    <w:rsid w:val="00754138"/>
    <w:rsid w:val="00754A0D"/>
    <w:rsid w:val="007552C1"/>
    <w:rsid w:val="007552E7"/>
    <w:rsid w:val="00755438"/>
    <w:rsid w:val="00755BA0"/>
    <w:rsid w:val="007562A6"/>
    <w:rsid w:val="007562E2"/>
    <w:rsid w:val="007577C2"/>
    <w:rsid w:val="00757D14"/>
    <w:rsid w:val="007614BC"/>
    <w:rsid w:val="00762F2B"/>
    <w:rsid w:val="0076305B"/>
    <w:rsid w:val="007630CA"/>
    <w:rsid w:val="0076328E"/>
    <w:rsid w:val="0076346B"/>
    <w:rsid w:val="0076353F"/>
    <w:rsid w:val="00764338"/>
    <w:rsid w:val="0076540E"/>
    <w:rsid w:val="0076561E"/>
    <w:rsid w:val="007661B0"/>
    <w:rsid w:val="007673E9"/>
    <w:rsid w:val="007676E2"/>
    <w:rsid w:val="00770F7F"/>
    <w:rsid w:val="00771117"/>
    <w:rsid w:val="00772265"/>
    <w:rsid w:val="00772675"/>
    <w:rsid w:val="0077289F"/>
    <w:rsid w:val="00773353"/>
    <w:rsid w:val="007739EA"/>
    <w:rsid w:val="0077517D"/>
    <w:rsid w:val="007772AD"/>
    <w:rsid w:val="007775DE"/>
    <w:rsid w:val="00780627"/>
    <w:rsid w:val="00780A45"/>
    <w:rsid w:val="007816E0"/>
    <w:rsid w:val="00781C73"/>
    <w:rsid w:val="00783842"/>
    <w:rsid w:val="00784090"/>
    <w:rsid w:val="0078468F"/>
    <w:rsid w:val="00785BAC"/>
    <w:rsid w:val="00785E33"/>
    <w:rsid w:val="007862A8"/>
    <w:rsid w:val="0078641C"/>
    <w:rsid w:val="00786BA8"/>
    <w:rsid w:val="00787059"/>
    <w:rsid w:val="007876E3"/>
    <w:rsid w:val="00787E58"/>
    <w:rsid w:val="00791FDF"/>
    <w:rsid w:val="007928AD"/>
    <w:rsid w:val="00792913"/>
    <w:rsid w:val="0079422E"/>
    <w:rsid w:val="00794724"/>
    <w:rsid w:val="00795653"/>
    <w:rsid w:val="007962D1"/>
    <w:rsid w:val="007A0174"/>
    <w:rsid w:val="007A0959"/>
    <w:rsid w:val="007A0BB2"/>
    <w:rsid w:val="007A0BCD"/>
    <w:rsid w:val="007A0BE2"/>
    <w:rsid w:val="007A1B75"/>
    <w:rsid w:val="007A1E63"/>
    <w:rsid w:val="007A2AE4"/>
    <w:rsid w:val="007A35FC"/>
    <w:rsid w:val="007A360A"/>
    <w:rsid w:val="007A3DBD"/>
    <w:rsid w:val="007A3E97"/>
    <w:rsid w:val="007A4A41"/>
    <w:rsid w:val="007A5131"/>
    <w:rsid w:val="007A5255"/>
    <w:rsid w:val="007A5727"/>
    <w:rsid w:val="007A5EEE"/>
    <w:rsid w:val="007A625E"/>
    <w:rsid w:val="007A6376"/>
    <w:rsid w:val="007A6B47"/>
    <w:rsid w:val="007A725A"/>
    <w:rsid w:val="007B063F"/>
    <w:rsid w:val="007B0F2E"/>
    <w:rsid w:val="007B2CCC"/>
    <w:rsid w:val="007B4019"/>
    <w:rsid w:val="007B4BEB"/>
    <w:rsid w:val="007B502E"/>
    <w:rsid w:val="007B5128"/>
    <w:rsid w:val="007B5E50"/>
    <w:rsid w:val="007B6297"/>
    <w:rsid w:val="007B62E9"/>
    <w:rsid w:val="007B64A7"/>
    <w:rsid w:val="007B66A0"/>
    <w:rsid w:val="007B6E4E"/>
    <w:rsid w:val="007B71AF"/>
    <w:rsid w:val="007B71E9"/>
    <w:rsid w:val="007B74F3"/>
    <w:rsid w:val="007C02FF"/>
    <w:rsid w:val="007C0408"/>
    <w:rsid w:val="007C08F1"/>
    <w:rsid w:val="007C1702"/>
    <w:rsid w:val="007C1DA2"/>
    <w:rsid w:val="007C2CB2"/>
    <w:rsid w:val="007C3289"/>
    <w:rsid w:val="007C3384"/>
    <w:rsid w:val="007C3B87"/>
    <w:rsid w:val="007C4067"/>
    <w:rsid w:val="007C41D1"/>
    <w:rsid w:val="007C48C7"/>
    <w:rsid w:val="007C4D8F"/>
    <w:rsid w:val="007C6355"/>
    <w:rsid w:val="007C64BA"/>
    <w:rsid w:val="007C657E"/>
    <w:rsid w:val="007C667C"/>
    <w:rsid w:val="007C69D6"/>
    <w:rsid w:val="007C744E"/>
    <w:rsid w:val="007C7CFB"/>
    <w:rsid w:val="007C7D26"/>
    <w:rsid w:val="007D078E"/>
    <w:rsid w:val="007D125E"/>
    <w:rsid w:val="007D1D11"/>
    <w:rsid w:val="007D2571"/>
    <w:rsid w:val="007D2C64"/>
    <w:rsid w:val="007D2CEB"/>
    <w:rsid w:val="007D2F38"/>
    <w:rsid w:val="007D3591"/>
    <w:rsid w:val="007D3A07"/>
    <w:rsid w:val="007D43F3"/>
    <w:rsid w:val="007D5189"/>
    <w:rsid w:val="007D5286"/>
    <w:rsid w:val="007D631B"/>
    <w:rsid w:val="007D6683"/>
    <w:rsid w:val="007D704E"/>
    <w:rsid w:val="007D7E14"/>
    <w:rsid w:val="007E0243"/>
    <w:rsid w:val="007E09BB"/>
    <w:rsid w:val="007E3D27"/>
    <w:rsid w:val="007E46C6"/>
    <w:rsid w:val="007E5422"/>
    <w:rsid w:val="007E5D55"/>
    <w:rsid w:val="007E6167"/>
    <w:rsid w:val="007E74C5"/>
    <w:rsid w:val="007E7D0C"/>
    <w:rsid w:val="007E7D2A"/>
    <w:rsid w:val="007E7D32"/>
    <w:rsid w:val="007F00AD"/>
    <w:rsid w:val="007F0AA9"/>
    <w:rsid w:val="007F0BBE"/>
    <w:rsid w:val="007F0E34"/>
    <w:rsid w:val="007F2F6B"/>
    <w:rsid w:val="007F32C6"/>
    <w:rsid w:val="007F3828"/>
    <w:rsid w:val="007F4F28"/>
    <w:rsid w:val="007F6072"/>
    <w:rsid w:val="007F6368"/>
    <w:rsid w:val="007F703E"/>
    <w:rsid w:val="007F7B7F"/>
    <w:rsid w:val="008015D3"/>
    <w:rsid w:val="00801794"/>
    <w:rsid w:val="0080199C"/>
    <w:rsid w:val="0080256C"/>
    <w:rsid w:val="0080406B"/>
    <w:rsid w:val="008043DE"/>
    <w:rsid w:val="0080498D"/>
    <w:rsid w:val="008055F8"/>
    <w:rsid w:val="00805694"/>
    <w:rsid w:val="0080606A"/>
    <w:rsid w:val="008065E0"/>
    <w:rsid w:val="008065F0"/>
    <w:rsid w:val="008072B2"/>
    <w:rsid w:val="00807B26"/>
    <w:rsid w:val="00807C2F"/>
    <w:rsid w:val="00810B67"/>
    <w:rsid w:val="008121B3"/>
    <w:rsid w:val="008129C6"/>
    <w:rsid w:val="00812E0A"/>
    <w:rsid w:val="0081352B"/>
    <w:rsid w:val="008140C1"/>
    <w:rsid w:val="00814514"/>
    <w:rsid w:val="00814F55"/>
    <w:rsid w:val="0081689D"/>
    <w:rsid w:val="0081750E"/>
    <w:rsid w:val="00817728"/>
    <w:rsid w:val="008177EC"/>
    <w:rsid w:val="00817F6F"/>
    <w:rsid w:val="00821235"/>
    <w:rsid w:val="008229F8"/>
    <w:rsid w:val="008231A5"/>
    <w:rsid w:val="0082353E"/>
    <w:rsid w:val="008237E2"/>
    <w:rsid w:val="008255E4"/>
    <w:rsid w:val="0082585B"/>
    <w:rsid w:val="00825C7D"/>
    <w:rsid w:val="0082636B"/>
    <w:rsid w:val="0082782C"/>
    <w:rsid w:val="00827975"/>
    <w:rsid w:val="00827ADE"/>
    <w:rsid w:val="00827BAD"/>
    <w:rsid w:val="00830639"/>
    <w:rsid w:val="008309C9"/>
    <w:rsid w:val="00830B40"/>
    <w:rsid w:val="00830BC7"/>
    <w:rsid w:val="00830DC9"/>
    <w:rsid w:val="0083127B"/>
    <w:rsid w:val="00831731"/>
    <w:rsid w:val="0083336D"/>
    <w:rsid w:val="008335E3"/>
    <w:rsid w:val="00834DCB"/>
    <w:rsid w:val="00834F78"/>
    <w:rsid w:val="00836673"/>
    <w:rsid w:val="00836BC1"/>
    <w:rsid w:val="00837D8D"/>
    <w:rsid w:val="00840C01"/>
    <w:rsid w:val="00840C42"/>
    <w:rsid w:val="0084167C"/>
    <w:rsid w:val="0084172F"/>
    <w:rsid w:val="00844346"/>
    <w:rsid w:val="00844F10"/>
    <w:rsid w:val="00845186"/>
    <w:rsid w:val="00845B79"/>
    <w:rsid w:val="00845BBC"/>
    <w:rsid w:val="00847F2B"/>
    <w:rsid w:val="00850048"/>
    <w:rsid w:val="00850706"/>
    <w:rsid w:val="00850A97"/>
    <w:rsid w:val="008513D8"/>
    <w:rsid w:val="00851A54"/>
    <w:rsid w:val="00851FC4"/>
    <w:rsid w:val="00852082"/>
    <w:rsid w:val="00852305"/>
    <w:rsid w:val="00852C25"/>
    <w:rsid w:val="00852EA6"/>
    <w:rsid w:val="00854769"/>
    <w:rsid w:val="008549F5"/>
    <w:rsid w:val="00855A28"/>
    <w:rsid w:val="00855D43"/>
    <w:rsid w:val="00855EBA"/>
    <w:rsid w:val="00855F84"/>
    <w:rsid w:val="008561D7"/>
    <w:rsid w:val="008607B4"/>
    <w:rsid w:val="00860B22"/>
    <w:rsid w:val="00861074"/>
    <w:rsid w:val="00862841"/>
    <w:rsid w:val="00862874"/>
    <w:rsid w:val="008636FC"/>
    <w:rsid w:val="008638A1"/>
    <w:rsid w:val="00863DB6"/>
    <w:rsid w:val="00863F46"/>
    <w:rsid w:val="00864F7C"/>
    <w:rsid w:val="00865132"/>
    <w:rsid w:val="00865B86"/>
    <w:rsid w:val="0086739D"/>
    <w:rsid w:val="008675D5"/>
    <w:rsid w:val="00867E87"/>
    <w:rsid w:val="00870368"/>
    <w:rsid w:val="00870FEE"/>
    <w:rsid w:val="00871164"/>
    <w:rsid w:val="00871D02"/>
    <w:rsid w:val="00871FE6"/>
    <w:rsid w:val="00873BC6"/>
    <w:rsid w:val="00874FB1"/>
    <w:rsid w:val="00875589"/>
    <w:rsid w:val="00876667"/>
    <w:rsid w:val="008771F4"/>
    <w:rsid w:val="0087728D"/>
    <w:rsid w:val="00877F19"/>
    <w:rsid w:val="00880902"/>
    <w:rsid w:val="00881111"/>
    <w:rsid w:val="00881E3C"/>
    <w:rsid w:val="00882A5B"/>
    <w:rsid w:val="00882B3C"/>
    <w:rsid w:val="0088355D"/>
    <w:rsid w:val="00883F9B"/>
    <w:rsid w:val="00884DB9"/>
    <w:rsid w:val="00885103"/>
    <w:rsid w:val="00886B0E"/>
    <w:rsid w:val="00886FE6"/>
    <w:rsid w:val="0088740E"/>
    <w:rsid w:val="00887745"/>
    <w:rsid w:val="0088793D"/>
    <w:rsid w:val="00890256"/>
    <w:rsid w:val="00890907"/>
    <w:rsid w:val="008909CA"/>
    <w:rsid w:val="00891B67"/>
    <w:rsid w:val="00892A4E"/>
    <w:rsid w:val="00892DF0"/>
    <w:rsid w:val="008935E1"/>
    <w:rsid w:val="00894A27"/>
    <w:rsid w:val="00894D49"/>
    <w:rsid w:val="00894D52"/>
    <w:rsid w:val="0089560A"/>
    <w:rsid w:val="00896A4C"/>
    <w:rsid w:val="00896EBA"/>
    <w:rsid w:val="0089797F"/>
    <w:rsid w:val="008A0EA7"/>
    <w:rsid w:val="008A157D"/>
    <w:rsid w:val="008A16FC"/>
    <w:rsid w:val="008A175B"/>
    <w:rsid w:val="008A23C9"/>
    <w:rsid w:val="008A39F8"/>
    <w:rsid w:val="008A3FC1"/>
    <w:rsid w:val="008A4960"/>
    <w:rsid w:val="008A5766"/>
    <w:rsid w:val="008A79CC"/>
    <w:rsid w:val="008B0250"/>
    <w:rsid w:val="008B043D"/>
    <w:rsid w:val="008B0B3A"/>
    <w:rsid w:val="008B0E47"/>
    <w:rsid w:val="008B10F0"/>
    <w:rsid w:val="008B1604"/>
    <w:rsid w:val="008B2309"/>
    <w:rsid w:val="008B32A9"/>
    <w:rsid w:val="008B4F7D"/>
    <w:rsid w:val="008B7547"/>
    <w:rsid w:val="008C0083"/>
    <w:rsid w:val="008C10DD"/>
    <w:rsid w:val="008C24BD"/>
    <w:rsid w:val="008C24C1"/>
    <w:rsid w:val="008C2885"/>
    <w:rsid w:val="008C2EDB"/>
    <w:rsid w:val="008C4496"/>
    <w:rsid w:val="008C54B3"/>
    <w:rsid w:val="008C5C15"/>
    <w:rsid w:val="008C6747"/>
    <w:rsid w:val="008C6A9D"/>
    <w:rsid w:val="008C6C9A"/>
    <w:rsid w:val="008C701E"/>
    <w:rsid w:val="008C7483"/>
    <w:rsid w:val="008D0565"/>
    <w:rsid w:val="008D0977"/>
    <w:rsid w:val="008D0A5D"/>
    <w:rsid w:val="008D1621"/>
    <w:rsid w:val="008D17EE"/>
    <w:rsid w:val="008D182D"/>
    <w:rsid w:val="008D1B64"/>
    <w:rsid w:val="008D1BF0"/>
    <w:rsid w:val="008D1CF0"/>
    <w:rsid w:val="008D2A7D"/>
    <w:rsid w:val="008D2AA8"/>
    <w:rsid w:val="008D2D41"/>
    <w:rsid w:val="008D3AF3"/>
    <w:rsid w:val="008D4162"/>
    <w:rsid w:val="008D4A3E"/>
    <w:rsid w:val="008D4A56"/>
    <w:rsid w:val="008D4E54"/>
    <w:rsid w:val="008D56EA"/>
    <w:rsid w:val="008D5962"/>
    <w:rsid w:val="008D6B88"/>
    <w:rsid w:val="008D7325"/>
    <w:rsid w:val="008E13E3"/>
    <w:rsid w:val="008E1665"/>
    <w:rsid w:val="008E1A7F"/>
    <w:rsid w:val="008E25ED"/>
    <w:rsid w:val="008E32D3"/>
    <w:rsid w:val="008E4C89"/>
    <w:rsid w:val="008E500F"/>
    <w:rsid w:val="008E51AF"/>
    <w:rsid w:val="008E548A"/>
    <w:rsid w:val="008E5B72"/>
    <w:rsid w:val="008E5FC0"/>
    <w:rsid w:val="008E6684"/>
    <w:rsid w:val="008E6736"/>
    <w:rsid w:val="008E6776"/>
    <w:rsid w:val="008E6AF1"/>
    <w:rsid w:val="008E74A2"/>
    <w:rsid w:val="008F0425"/>
    <w:rsid w:val="008F0B5B"/>
    <w:rsid w:val="008F177E"/>
    <w:rsid w:val="008F271E"/>
    <w:rsid w:val="008F2B46"/>
    <w:rsid w:val="008F49DC"/>
    <w:rsid w:val="008F4B82"/>
    <w:rsid w:val="008F6B25"/>
    <w:rsid w:val="00900200"/>
    <w:rsid w:val="00900394"/>
    <w:rsid w:val="009004EF"/>
    <w:rsid w:val="009006A6"/>
    <w:rsid w:val="00900C40"/>
    <w:rsid w:val="00901698"/>
    <w:rsid w:val="009016D7"/>
    <w:rsid w:val="00901928"/>
    <w:rsid w:val="009019BA"/>
    <w:rsid w:val="00901E00"/>
    <w:rsid w:val="00902AF2"/>
    <w:rsid w:val="00903AC3"/>
    <w:rsid w:val="0090412E"/>
    <w:rsid w:val="00904536"/>
    <w:rsid w:val="00904553"/>
    <w:rsid w:val="0090478A"/>
    <w:rsid w:val="00907E04"/>
    <w:rsid w:val="00910175"/>
    <w:rsid w:val="009102A7"/>
    <w:rsid w:val="00910C3E"/>
    <w:rsid w:val="00911D86"/>
    <w:rsid w:val="009132A8"/>
    <w:rsid w:val="009141E1"/>
    <w:rsid w:val="009144B5"/>
    <w:rsid w:val="009146F6"/>
    <w:rsid w:val="00915863"/>
    <w:rsid w:val="00915B12"/>
    <w:rsid w:val="00916A0E"/>
    <w:rsid w:val="00916ED7"/>
    <w:rsid w:val="00920AAD"/>
    <w:rsid w:val="00920ABA"/>
    <w:rsid w:val="009210DD"/>
    <w:rsid w:val="00922E70"/>
    <w:rsid w:val="00922F94"/>
    <w:rsid w:val="009240E1"/>
    <w:rsid w:val="00924F4C"/>
    <w:rsid w:val="00925991"/>
    <w:rsid w:val="00925D82"/>
    <w:rsid w:val="00926073"/>
    <w:rsid w:val="00926E69"/>
    <w:rsid w:val="00927CE4"/>
    <w:rsid w:val="00927EEE"/>
    <w:rsid w:val="00930EF7"/>
    <w:rsid w:val="0093125C"/>
    <w:rsid w:val="009313F2"/>
    <w:rsid w:val="009317B8"/>
    <w:rsid w:val="00933904"/>
    <w:rsid w:val="00935B56"/>
    <w:rsid w:val="009360D6"/>
    <w:rsid w:val="00936282"/>
    <w:rsid w:val="00936510"/>
    <w:rsid w:val="00936E7E"/>
    <w:rsid w:val="00937360"/>
    <w:rsid w:val="0093777D"/>
    <w:rsid w:val="00937A67"/>
    <w:rsid w:val="00940946"/>
    <w:rsid w:val="009409A0"/>
    <w:rsid w:val="009412FD"/>
    <w:rsid w:val="00941336"/>
    <w:rsid w:val="00941869"/>
    <w:rsid w:val="0094290C"/>
    <w:rsid w:val="00943AC5"/>
    <w:rsid w:val="00945476"/>
    <w:rsid w:val="00945E92"/>
    <w:rsid w:val="009466EE"/>
    <w:rsid w:val="0094698E"/>
    <w:rsid w:val="009474C9"/>
    <w:rsid w:val="009476ED"/>
    <w:rsid w:val="00952162"/>
    <w:rsid w:val="009524C9"/>
    <w:rsid w:val="00952752"/>
    <w:rsid w:val="00952CD3"/>
    <w:rsid w:val="0095360A"/>
    <w:rsid w:val="00953690"/>
    <w:rsid w:val="00953FD0"/>
    <w:rsid w:val="00954749"/>
    <w:rsid w:val="00954B8D"/>
    <w:rsid w:val="0095520A"/>
    <w:rsid w:val="009566C9"/>
    <w:rsid w:val="009575E1"/>
    <w:rsid w:val="009608FF"/>
    <w:rsid w:val="00960BC7"/>
    <w:rsid w:val="00961386"/>
    <w:rsid w:val="00962129"/>
    <w:rsid w:val="0096222B"/>
    <w:rsid w:val="00962C86"/>
    <w:rsid w:val="009632C9"/>
    <w:rsid w:val="00964429"/>
    <w:rsid w:val="00964625"/>
    <w:rsid w:val="009646C7"/>
    <w:rsid w:val="00965067"/>
    <w:rsid w:val="00965B85"/>
    <w:rsid w:val="00966400"/>
    <w:rsid w:val="009667EE"/>
    <w:rsid w:val="00966BD9"/>
    <w:rsid w:val="00967245"/>
    <w:rsid w:val="009720B6"/>
    <w:rsid w:val="00972668"/>
    <w:rsid w:val="009726BB"/>
    <w:rsid w:val="009728A6"/>
    <w:rsid w:val="0097316B"/>
    <w:rsid w:val="009731EE"/>
    <w:rsid w:val="0097354A"/>
    <w:rsid w:val="00974284"/>
    <w:rsid w:val="009746A6"/>
    <w:rsid w:val="00974CF9"/>
    <w:rsid w:val="00974FAA"/>
    <w:rsid w:val="00975E05"/>
    <w:rsid w:val="00976142"/>
    <w:rsid w:val="009762C0"/>
    <w:rsid w:val="009763A4"/>
    <w:rsid w:val="00977184"/>
    <w:rsid w:val="0097718F"/>
    <w:rsid w:val="00977BA4"/>
    <w:rsid w:val="009802C9"/>
    <w:rsid w:val="00980734"/>
    <w:rsid w:val="00981010"/>
    <w:rsid w:val="00981AF2"/>
    <w:rsid w:val="00981B76"/>
    <w:rsid w:val="0098317A"/>
    <w:rsid w:val="00983906"/>
    <w:rsid w:val="00983CB0"/>
    <w:rsid w:val="0098489D"/>
    <w:rsid w:val="00985057"/>
    <w:rsid w:val="0098565C"/>
    <w:rsid w:val="0098566B"/>
    <w:rsid w:val="00985ABF"/>
    <w:rsid w:val="009860EF"/>
    <w:rsid w:val="00986A2F"/>
    <w:rsid w:val="00986BDD"/>
    <w:rsid w:val="00987068"/>
    <w:rsid w:val="00987C8D"/>
    <w:rsid w:val="00991685"/>
    <w:rsid w:val="00991899"/>
    <w:rsid w:val="009921F3"/>
    <w:rsid w:val="009927FA"/>
    <w:rsid w:val="009967F2"/>
    <w:rsid w:val="00996811"/>
    <w:rsid w:val="00997790"/>
    <w:rsid w:val="009A08CE"/>
    <w:rsid w:val="009A0A8A"/>
    <w:rsid w:val="009A0CED"/>
    <w:rsid w:val="009A1301"/>
    <w:rsid w:val="009A14FB"/>
    <w:rsid w:val="009A2169"/>
    <w:rsid w:val="009A3C9A"/>
    <w:rsid w:val="009A4BB3"/>
    <w:rsid w:val="009A5911"/>
    <w:rsid w:val="009A5DCB"/>
    <w:rsid w:val="009A66D0"/>
    <w:rsid w:val="009A6D59"/>
    <w:rsid w:val="009A6EB4"/>
    <w:rsid w:val="009B01FC"/>
    <w:rsid w:val="009B1BFE"/>
    <w:rsid w:val="009B36A9"/>
    <w:rsid w:val="009B38BA"/>
    <w:rsid w:val="009B42C8"/>
    <w:rsid w:val="009B42E8"/>
    <w:rsid w:val="009B4B69"/>
    <w:rsid w:val="009B54F4"/>
    <w:rsid w:val="009B5A76"/>
    <w:rsid w:val="009B6232"/>
    <w:rsid w:val="009B6BCB"/>
    <w:rsid w:val="009B6F10"/>
    <w:rsid w:val="009B7367"/>
    <w:rsid w:val="009B7F1A"/>
    <w:rsid w:val="009C207F"/>
    <w:rsid w:val="009C43AA"/>
    <w:rsid w:val="009C4AA2"/>
    <w:rsid w:val="009C507F"/>
    <w:rsid w:val="009C67E7"/>
    <w:rsid w:val="009C7649"/>
    <w:rsid w:val="009D0375"/>
    <w:rsid w:val="009D09A9"/>
    <w:rsid w:val="009D0BCE"/>
    <w:rsid w:val="009D1512"/>
    <w:rsid w:val="009D159E"/>
    <w:rsid w:val="009D1A8C"/>
    <w:rsid w:val="009D1B44"/>
    <w:rsid w:val="009D378E"/>
    <w:rsid w:val="009D3F76"/>
    <w:rsid w:val="009D4EEC"/>
    <w:rsid w:val="009D4F0E"/>
    <w:rsid w:val="009D4FCD"/>
    <w:rsid w:val="009D53D3"/>
    <w:rsid w:val="009D62A3"/>
    <w:rsid w:val="009D63CB"/>
    <w:rsid w:val="009D7890"/>
    <w:rsid w:val="009D7AF6"/>
    <w:rsid w:val="009E02BF"/>
    <w:rsid w:val="009E03BB"/>
    <w:rsid w:val="009E09CF"/>
    <w:rsid w:val="009E0EA2"/>
    <w:rsid w:val="009E1CEE"/>
    <w:rsid w:val="009E214D"/>
    <w:rsid w:val="009E25F2"/>
    <w:rsid w:val="009E28EC"/>
    <w:rsid w:val="009E2F87"/>
    <w:rsid w:val="009E315A"/>
    <w:rsid w:val="009E3A14"/>
    <w:rsid w:val="009E3C2B"/>
    <w:rsid w:val="009E40F1"/>
    <w:rsid w:val="009E424F"/>
    <w:rsid w:val="009E4841"/>
    <w:rsid w:val="009E5F30"/>
    <w:rsid w:val="009E6A49"/>
    <w:rsid w:val="009E7357"/>
    <w:rsid w:val="009E78E7"/>
    <w:rsid w:val="009E7983"/>
    <w:rsid w:val="009F0668"/>
    <w:rsid w:val="009F07E9"/>
    <w:rsid w:val="009F10C4"/>
    <w:rsid w:val="009F1BD2"/>
    <w:rsid w:val="009F2C3D"/>
    <w:rsid w:val="009F2E31"/>
    <w:rsid w:val="009F37C6"/>
    <w:rsid w:val="009F3F1F"/>
    <w:rsid w:val="009F4FB3"/>
    <w:rsid w:val="009F5089"/>
    <w:rsid w:val="009F6079"/>
    <w:rsid w:val="009F653B"/>
    <w:rsid w:val="009F68D3"/>
    <w:rsid w:val="009F69DB"/>
    <w:rsid w:val="009F71D1"/>
    <w:rsid w:val="009F7286"/>
    <w:rsid w:val="009F757B"/>
    <w:rsid w:val="009F7877"/>
    <w:rsid w:val="00A00CB2"/>
    <w:rsid w:val="00A00DD6"/>
    <w:rsid w:val="00A00F5F"/>
    <w:rsid w:val="00A0110C"/>
    <w:rsid w:val="00A01229"/>
    <w:rsid w:val="00A013A7"/>
    <w:rsid w:val="00A017BA"/>
    <w:rsid w:val="00A01EFD"/>
    <w:rsid w:val="00A026DF"/>
    <w:rsid w:val="00A02A2F"/>
    <w:rsid w:val="00A02F27"/>
    <w:rsid w:val="00A03A5F"/>
    <w:rsid w:val="00A03D69"/>
    <w:rsid w:val="00A04100"/>
    <w:rsid w:val="00A0463C"/>
    <w:rsid w:val="00A049C0"/>
    <w:rsid w:val="00A05A1E"/>
    <w:rsid w:val="00A05B76"/>
    <w:rsid w:val="00A05E74"/>
    <w:rsid w:val="00A066DE"/>
    <w:rsid w:val="00A0671E"/>
    <w:rsid w:val="00A075C8"/>
    <w:rsid w:val="00A07689"/>
    <w:rsid w:val="00A0779D"/>
    <w:rsid w:val="00A07B7D"/>
    <w:rsid w:val="00A07C2A"/>
    <w:rsid w:val="00A103E5"/>
    <w:rsid w:val="00A10B65"/>
    <w:rsid w:val="00A13D1C"/>
    <w:rsid w:val="00A141E5"/>
    <w:rsid w:val="00A14456"/>
    <w:rsid w:val="00A14624"/>
    <w:rsid w:val="00A14734"/>
    <w:rsid w:val="00A15581"/>
    <w:rsid w:val="00A1593F"/>
    <w:rsid w:val="00A15B57"/>
    <w:rsid w:val="00A17B4A"/>
    <w:rsid w:val="00A207E6"/>
    <w:rsid w:val="00A21652"/>
    <w:rsid w:val="00A21984"/>
    <w:rsid w:val="00A21F92"/>
    <w:rsid w:val="00A21FE3"/>
    <w:rsid w:val="00A22804"/>
    <w:rsid w:val="00A23013"/>
    <w:rsid w:val="00A236AF"/>
    <w:rsid w:val="00A23F0F"/>
    <w:rsid w:val="00A24D4F"/>
    <w:rsid w:val="00A2536F"/>
    <w:rsid w:val="00A25AAA"/>
    <w:rsid w:val="00A263F4"/>
    <w:rsid w:val="00A266B0"/>
    <w:rsid w:val="00A26AF6"/>
    <w:rsid w:val="00A271D3"/>
    <w:rsid w:val="00A272E8"/>
    <w:rsid w:val="00A30499"/>
    <w:rsid w:val="00A30AF9"/>
    <w:rsid w:val="00A30DB3"/>
    <w:rsid w:val="00A310E7"/>
    <w:rsid w:val="00A315A6"/>
    <w:rsid w:val="00A315B9"/>
    <w:rsid w:val="00A31C19"/>
    <w:rsid w:val="00A3220C"/>
    <w:rsid w:val="00A32933"/>
    <w:rsid w:val="00A33CF3"/>
    <w:rsid w:val="00A344A6"/>
    <w:rsid w:val="00A34CEB"/>
    <w:rsid w:val="00A361A1"/>
    <w:rsid w:val="00A37108"/>
    <w:rsid w:val="00A374A4"/>
    <w:rsid w:val="00A403E9"/>
    <w:rsid w:val="00A40447"/>
    <w:rsid w:val="00A40579"/>
    <w:rsid w:val="00A406DC"/>
    <w:rsid w:val="00A40ACF"/>
    <w:rsid w:val="00A40F2F"/>
    <w:rsid w:val="00A41119"/>
    <w:rsid w:val="00A413D6"/>
    <w:rsid w:val="00A41FCE"/>
    <w:rsid w:val="00A41FDE"/>
    <w:rsid w:val="00A4290C"/>
    <w:rsid w:val="00A4347E"/>
    <w:rsid w:val="00A435FD"/>
    <w:rsid w:val="00A4381E"/>
    <w:rsid w:val="00A4478C"/>
    <w:rsid w:val="00A4630E"/>
    <w:rsid w:val="00A46B4E"/>
    <w:rsid w:val="00A474DF"/>
    <w:rsid w:val="00A47DE3"/>
    <w:rsid w:val="00A47E41"/>
    <w:rsid w:val="00A47F89"/>
    <w:rsid w:val="00A47FC0"/>
    <w:rsid w:val="00A511BE"/>
    <w:rsid w:val="00A5145E"/>
    <w:rsid w:val="00A519F2"/>
    <w:rsid w:val="00A5227A"/>
    <w:rsid w:val="00A528E5"/>
    <w:rsid w:val="00A52EED"/>
    <w:rsid w:val="00A530C9"/>
    <w:rsid w:val="00A542C3"/>
    <w:rsid w:val="00A54620"/>
    <w:rsid w:val="00A54DE9"/>
    <w:rsid w:val="00A55A52"/>
    <w:rsid w:val="00A55DE0"/>
    <w:rsid w:val="00A56171"/>
    <w:rsid w:val="00A562F8"/>
    <w:rsid w:val="00A57D42"/>
    <w:rsid w:val="00A603E2"/>
    <w:rsid w:val="00A60B38"/>
    <w:rsid w:val="00A60BBB"/>
    <w:rsid w:val="00A60C83"/>
    <w:rsid w:val="00A610E0"/>
    <w:rsid w:val="00A610F4"/>
    <w:rsid w:val="00A61AB0"/>
    <w:rsid w:val="00A6335C"/>
    <w:rsid w:val="00A63A99"/>
    <w:rsid w:val="00A640D6"/>
    <w:rsid w:val="00A64EA5"/>
    <w:rsid w:val="00A64F2A"/>
    <w:rsid w:val="00A65F1E"/>
    <w:rsid w:val="00A66C72"/>
    <w:rsid w:val="00A66E9F"/>
    <w:rsid w:val="00A66FF3"/>
    <w:rsid w:val="00A67DBD"/>
    <w:rsid w:val="00A703C8"/>
    <w:rsid w:val="00A72A8B"/>
    <w:rsid w:val="00A72DE1"/>
    <w:rsid w:val="00A734AB"/>
    <w:rsid w:val="00A73691"/>
    <w:rsid w:val="00A739AD"/>
    <w:rsid w:val="00A74329"/>
    <w:rsid w:val="00A74D02"/>
    <w:rsid w:val="00A762A7"/>
    <w:rsid w:val="00A764F7"/>
    <w:rsid w:val="00A7695F"/>
    <w:rsid w:val="00A80964"/>
    <w:rsid w:val="00A811E0"/>
    <w:rsid w:val="00A81CE1"/>
    <w:rsid w:val="00A82E59"/>
    <w:rsid w:val="00A83111"/>
    <w:rsid w:val="00A83570"/>
    <w:rsid w:val="00A83583"/>
    <w:rsid w:val="00A84046"/>
    <w:rsid w:val="00A84047"/>
    <w:rsid w:val="00A843F9"/>
    <w:rsid w:val="00A84A22"/>
    <w:rsid w:val="00A84D17"/>
    <w:rsid w:val="00A855AA"/>
    <w:rsid w:val="00A85982"/>
    <w:rsid w:val="00A85C55"/>
    <w:rsid w:val="00A8748A"/>
    <w:rsid w:val="00A879ED"/>
    <w:rsid w:val="00A90123"/>
    <w:rsid w:val="00A90517"/>
    <w:rsid w:val="00A91AC9"/>
    <w:rsid w:val="00A91E4E"/>
    <w:rsid w:val="00A926E6"/>
    <w:rsid w:val="00A92BF7"/>
    <w:rsid w:val="00A934C1"/>
    <w:rsid w:val="00A94006"/>
    <w:rsid w:val="00A95316"/>
    <w:rsid w:val="00A95A42"/>
    <w:rsid w:val="00A96017"/>
    <w:rsid w:val="00A967E5"/>
    <w:rsid w:val="00A96EF0"/>
    <w:rsid w:val="00A972FF"/>
    <w:rsid w:val="00A97C54"/>
    <w:rsid w:val="00AA0F47"/>
    <w:rsid w:val="00AA22FC"/>
    <w:rsid w:val="00AA3853"/>
    <w:rsid w:val="00AA3A95"/>
    <w:rsid w:val="00AA4F9F"/>
    <w:rsid w:val="00AA5234"/>
    <w:rsid w:val="00AA691D"/>
    <w:rsid w:val="00AA74E0"/>
    <w:rsid w:val="00AA7EB7"/>
    <w:rsid w:val="00AB04D0"/>
    <w:rsid w:val="00AB0683"/>
    <w:rsid w:val="00AB1647"/>
    <w:rsid w:val="00AB179B"/>
    <w:rsid w:val="00AB197C"/>
    <w:rsid w:val="00AB199E"/>
    <w:rsid w:val="00AB2DA9"/>
    <w:rsid w:val="00AB5052"/>
    <w:rsid w:val="00AB5560"/>
    <w:rsid w:val="00AB7A4E"/>
    <w:rsid w:val="00AC0E90"/>
    <w:rsid w:val="00AC165A"/>
    <w:rsid w:val="00AC2EDB"/>
    <w:rsid w:val="00AC2F1A"/>
    <w:rsid w:val="00AC4DD4"/>
    <w:rsid w:val="00AC58FC"/>
    <w:rsid w:val="00AC6527"/>
    <w:rsid w:val="00AC6792"/>
    <w:rsid w:val="00AC742B"/>
    <w:rsid w:val="00AC7D76"/>
    <w:rsid w:val="00AD11EB"/>
    <w:rsid w:val="00AD20DE"/>
    <w:rsid w:val="00AD2663"/>
    <w:rsid w:val="00AD2E35"/>
    <w:rsid w:val="00AD3EC6"/>
    <w:rsid w:val="00AD48BE"/>
    <w:rsid w:val="00AD5556"/>
    <w:rsid w:val="00AD5E69"/>
    <w:rsid w:val="00AD741D"/>
    <w:rsid w:val="00AD7AA1"/>
    <w:rsid w:val="00AD7F3F"/>
    <w:rsid w:val="00AE054C"/>
    <w:rsid w:val="00AE0606"/>
    <w:rsid w:val="00AE0632"/>
    <w:rsid w:val="00AE0FF7"/>
    <w:rsid w:val="00AE13F3"/>
    <w:rsid w:val="00AE1512"/>
    <w:rsid w:val="00AE16EC"/>
    <w:rsid w:val="00AE1F2F"/>
    <w:rsid w:val="00AE2439"/>
    <w:rsid w:val="00AE4BE0"/>
    <w:rsid w:val="00AE4D6C"/>
    <w:rsid w:val="00AE5099"/>
    <w:rsid w:val="00AE5EC3"/>
    <w:rsid w:val="00AE6B2D"/>
    <w:rsid w:val="00AE721B"/>
    <w:rsid w:val="00AE72DF"/>
    <w:rsid w:val="00AE7B86"/>
    <w:rsid w:val="00AE7E6E"/>
    <w:rsid w:val="00AF0BAC"/>
    <w:rsid w:val="00AF2305"/>
    <w:rsid w:val="00AF2A93"/>
    <w:rsid w:val="00AF3862"/>
    <w:rsid w:val="00AF46AA"/>
    <w:rsid w:val="00AF47AD"/>
    <w:rsid w:val="00AF5D98"/>
    <w:rsid w:val="00AF63A2"/>
    <w:rsid w:val="00AF67BA"/>
    <w:rsid w:val="00AF6ADA"/>
    <w:rsid w:val="00AF7307"/>
    <w:rsid w:val="00B015F9"/>
    <w:rsid w:val="00B01F67"/>
    <w:rsid w:val="00B021AE"/>
    <w:rsid w:val="00B022EC"/>
    <w:rsid w:val="00B02649"/>
    <w:rsid w:val="00B027C9"/>
    <w:rsid w:val="00B02F9F"/>
    <w:rsid w:val="00B03A57"/>
    <w:rsid w:val="00B044C6"/>
    <w:rsid w:val="00B04F64"/>
    <w:rsid w:val="00B05898"/>
    <w:rsid w:val="00B11747"/>
    <w:rsid w:val="00B11FF2"/>
    <w:rsid w:val="00B1290F"/>
    <w:rsid w:val="00B12A50"/>
    <w:rsid w:val="00B12A67"/>
    <w:rsid w:val="00B15850"/>
    <w:rsid w:val="00B158F9"/>
    <w:rsid w:val="00B16497"/>
    <w:rsid w:val="00B20352"/>
    <w:rsid w:val="00B20C5A"/>
    <w:rsid w:val="00B21580"/>
    <w:rsid w:val="00B21B48"/>
    <w:rsid w:val="00B21C3D"/>
    <w:rsid w:val="00B21F60"/>
    <w:rsid w:val="00B2222C"/>
    <w:rsid w:val="00B223DC"/>
    <w:rsid w:val="00B226A6"/>
    <w:rsid w:val="00B23AF7"/>
    <w:rsid w:val="00B23CBF"/>
    <w:rsid w:val="00B23D6E"/>
    <w:rsid w:val="00B24609"/>
    <w:rsid w:val="00B24F9D"/>
    <w:rsid w:val="00B25CBB"/>
    <w:rsid w:val="00B26221"/>
    <w:rsid w:val="00B2647B"/>
    <w:rsid w:val="00B2661E"/>
    <w:rsid w:val="00B2792B"/>
    <w:rsid w:val="00B27A34"/>
    <w:rsid w:val="00B27DAC"/>
    <w:rsid w:val="00B30493"/>
    <w:rsid w:val="00B30F1C"/>
    <w:rsid w:val="00B31000"/>
    <w:rsid w:val="00B31F16"/>
    <w:rsid w:val="00B326B7"/>
    <w:rsid w:val="00B33A55"/>
    <w:rsid w:val="00B34F49"/>
    <w:rsid w:val="00B34F63"/>
    <w:rsid w:val="00B35670"/>
    <w:rsid w:val="00B35CD9"/>
    <w:rsid w:val="00B379E6"/>
    <w:rsid w:val="00B4012B"/>
    <w:rsid w:val="00B402F3"/>
    <w:rsid w:val="00B40A96"/>
    <w:rsid w:val="00B40EDB"/>
    <w:rsid w:val="00B4154D"/>
    <w:rsid w:val="00B430BE"/>
    <w:rsid w:val="00B43126"/>
    <w:rsid w:val="00B447CB"/>
    <w:rsid w:val="00B4490D"/>
    <w:rsid w:val="00B44E65"/>
    <w:rsid w:val="00B4563F"/>
    <w:rsid w:val="00B4645E"/>
    <w:rsid w:val="00B46C2C"/>
    <w:rsid w:val="00B47926"/>
    <w:rsid w:val="00B479FF"/>
    <w:rsid w:val="00B47D28"/>
    <w:rsid w:val="00B510FE"/>
    <w:rsid w:val="00B51184"/>
    <w:rsid w:val="00B526A0"/>
    <w:rsid w:val="00B5275C"/>
    <w:rsid w:val="00B5318F"/>
    <w:rsid w:val="00B5342D"/>
    <w:rsid w:val="00B538DB"/>
    <w:rsid w:val="00B53A21"/>
    <w:rsid w:val="00B53B49"/>
    <w:rsid w:val="00B548FA"/>
    <w:rsid w:val="00B54A0A"/>
    <w:rsid w:val="00B54AA9"/>
    <w:rsid w:val="00B551D1"/>
    <w:rsid w:val="00B55999"/>
    <w:rsid w:val="00B56F72"/>
    <w:rsid w:val="00B56FF3"/>
    <w:rsid w:val="00B57AFD"/>
    <w:rsid w:val="00B57EA9"/>
    <w:rsid w:val="00B603FD"/>
    <w:rsid w:val="00B60A09"/>
    <w:rsid w:val="00B62551"/>
    <w:rsid w:val="00B62660"/>
    <w:rsid w:val="00B629EA"/>
    <w:rsid w:val="00B62A07"/>
    <w:rsid w:val="00B633AD"/>
    <w:rsid w:val="00B641F8"/>
    <w:rsid w:val="00B64399"/>
    <w:rsid w:val="00B655D0"/>
    <w:rsid w:val="00B66791"/>
    <w:rsid w:val="00B716ED"/>
    <w:rsid w:val="00B72260"/>
    <w:rsid w:val="00B7228A"/>
    <w:rsid w:val="00B72722"/>
    <w:rsid w:val="00B72959"/>
    <w:rsid w:val="00B73242"/>
    <w:rsid w:val="00B736B3"/>
    <w:rsid w:val="00B73A28"/>
    <w:rsid w:val="00B74AE8"/>
    <w:rsid w:val="00B75CDF"/>
    <w:rsid w:val="00B763D2"/>
    <w:rsid w:val="00B7662E"/>
    <w:rsid w:val="00B80C61"/>
    <w:rsid w:val="00B80D24"/>
    <w:rsid w:val="00B8172E"/>
    <w:rsid w:val="00B82086"/>
    <w:rsid w:val="00B861E1"/>
    <w:rsid w:val="00B91263"/>
    <w:rsid w:val="00B927E5"/>
    <w:rsid w:val="00B954E2"/>
    <w:rsid w:val="00B975F3"/>
    <w:rsid w:val="00BA1581"/>
    <w:rsid w:val="00BA174B"/>
    <w:rsid w:val="00BA1845"/>
    <w:rsid w:val="00BA1AAA"/>
    <w:rsid w:val="00BA1C96"/>
    <w:rsid w:val="00BA1CE8"/>
    <w:rsid w:val="00BA1E11"/>
    <w:rsid w:val="00BA2A2C"/>
    <w:rsid w:val="00BA3685"/>
    <w:rsid w:val="00BA3697"/>
    <w:rsid w:val="00BA39BA"/>
    <w:rsid w:val="00BA3CB2"/>
    <w:rsid w:val="00BA3FFF"/>
    <w:rsid w:val="00BA4499"/>
    <w:rsid w:val="00BA57D0"/>
    <w:rsid w:val="00BA6D63"/>
    <w:rsid w:val="00BA7142"/>
    <w:rsid w:val="00BB021D"/>
    <w:rsid w:val="00BB04C0"/>
    <w:rsid w:val="00BB0B31"/>
    <w:rsid w:val="00BB0B74"/>
    <w:rsid w:val="00BB0E52"/>
    <w:rsid w:val="00BB14AB"/>
    <w:rsid w:val="00BB1BF3"/>
    <w:rsid w:val="00BB25AB"/>
    <w:rsid w:val="00BB2646"/>
    <w:rsid w:val="00BB27D8"/>
    <w:rsid w:val="00BB27F6"/>
    <w:rsid w:val="00BB2ADA"/>
    <w:rsid w:val="00BB3758"/>
    <w:rsid w:val="00BB3B42"/>
    <w:rsid w:val="00BB4E4D"/>
    <w:rsid w:val="00BB5C06"/>
    <w:rsid w:val="00BB69A5"/>
    <w:rsid w:val="00BB6FCE"/>
    <w:rsid w:val="00BB7085"/>
    <w:rsid w:val="00BB73A1"/>
    <w:rsid w:val="00BB796E"/>
    <w:rsid w:val="00BC0EFB"/>
    <w:rsid w:val="00BC0FCD"/>
    <w:rsid w:val="00BC17E5"/>
    <w:rsid w:val="00BC1946"/>
    <w:rsid w:val="00BC2012"/>
    <w:rsid w:val="00BC21EE"/>
    <w:rsid w:val="00BC3B62"/>
    <w:rsid w:val="00BC4195"/>
    <w:rsid w:val="00BC43DB"/>
    <w:rsid w:val="00BC4DAE"/>
    <w:rsid w:val="00BC5C12"/>
    <w:rsid w:val="00BC5F04"/>
    <w:rsid w:val="00BC65D8"/>
    <w:rsid w:val="00BC74F2"/>
    <w:rsid w:val="00BC762D"/>
    <w:rsid w:val="00BC769F"/>
    <w:rsid w:val="00BC7B38"/>
    <w:rsid w:val="00BD1415"/>
    <w:rsid w:val="00BD2844"/>
    <w:rsid w:val="00BD2930"/>
    <w:rsid w:val="00BD316B"/>
    <w:rsid w:val="00BD428C"/>
    <w:rsid w:val="00BD4653"/>
    <w:rsid w:val="00BD49BC"/>
    <w:rsid w:val="00BD560B"/>
    <w:rsid w:val="00BD6475"/>
    <w:rsid w:val="00BD6523"/>
    <w:rsid w:val="00BD6F34"/>
    <w:rsid w:val="00BD6FA4"/>
    <w:rsid w:val="00BE10E4"/>
    <w:rsid w:val="00BE164A"/>
    <w:rsid w:val="00BE1658"/>
    <w:rsid w:val="00BE16DA"/>
    <w:rsid w:val="00BE2499"/>
    <w:rsid w:val="00BE47B6"/>
    <w:rsid w:val="00BE4D0F"/>
    <w:rsid w:val="00BE4DD3"/>
    <w:rsid w:val="00BE502E"/>
    <w:rsid w:val="00BE5C95"/>
    <w:rsid w:val="00BE6721"/>
    <w:rsid w:val="00BE6831"/>
    <w:rsid w:val="00BF0271"/>
    <w:rsid w:val="00BF06DD"/>
    <w:rsid w:val="00BF0720"/>
    <w:rsid w:val="00BF0819"/>
    <w:rsid w:val="00BF12C4"/>
    <w:rsid w:val="00BF14C6"/>
    <w:rsid w:val="00BF2C0E"/>
    <w:rsid w:val="00BF58EE"/>
    <w:rsid w:val="00BF5E81"/>
    <w:rsid w:val="00BF65CA"/>
    <w:rsid w:val="00BF7167"/>
    <w:rsid w:val="00BF73E8"/>
    <w:rsid w:val="00C01123"/>
    <w:rsid w:val="00C01502"/>
    <w:rsid w:val="00C025D8"/>
    <w:rsid w:val="00C03A44"/>
    <w:rsid w:val="00C03E02"/>
    <w:rsid w:val="00C03EF6"/>
    <w:rsid w:val="00C045D7"/>
    <w:rsid w:val="00C047BB"/>
    <w:rsid w:val="00C04C1F"/>
    <w:rsid w:val="00C04DFB"/>
    <w:rsid w:val="00C051EF"/>
    <w:rsid w:val="00C05BCB"/>
    <w:rsid w:val="00C06F95"/>
    <w:rsid w:val="00C0718A"/>
    <w:rsid w:val="00C07E70"/>
    <w:rsid w:val="00C1110D"/>
    <w:rsid w:val="00C11A50"/>
    <w:rsid w:val="00C1254D"/>
    <w:rsid w:val="00C125F8"/>
    <w:rsid w:val="00C127B1"/>
    <w:rsid w:val="00C129AC"/>
    <w:rsid w:val="00C134B7"/>
    <w:rsid w:val="00C147AA"/>
    <w:rsid w:val="00C15E87"/>
    <w:rsid w:val="00C15F71"/>
    <w:rsid w:val="00C16A7D"/>
    <w:rsid w:val="00C16DA8"/>
    <w:rsid w:val="00C175D0"/>
    <w:rsid w:val="00C2096B"/>
    <w:rsid w:val="00C20F5B"/>
    <w:rsid w:val="00C210A2"/>
    <w:rsid w:val="00C21A8D"/>
    <w:rsid w:val="00C21BDA"/>
    <w:rsid w:val="00C21E2C"/>
    <w:rsid w:val="00C21EFA"/>
    <w:rsid w:val="00C220AC"/>
    <w:rsid w:val="00C22D8B"/>
    <w:rsid w:val="00C246D8"/>
    <w:rsid w:val="00C24DB0"/>
    <w:rsid w:val="00C26B1C"/>
    <w:rsid w:val="00C274AA"/>
    <w:rsid w:val="00C277F0"/>
    <w:rsid w:val="00C27DE2"/>
    <w:rsid w:val="00C3034F"/>
    <w:rsid w:val="00C31697"/>
    <w:rsid w:val="00C316FF"/>
    <w:rsid w:val="00C32965"/>
    <w:rsid w:val="00C3426D"/>
    <w:rsid w:val="00C34DDC"/>
    <w:rsid w:val="00C35A5F"/>
    <w:rsid w:val="00C36D2E"/>
    <w:rsid w:val="00C374BE"/>
    <w:rsid w:val="00C41FC4"/>
    <w:rsid w:val="00C42A6D"/>
    <w:rsid w:val="00C42A79"/>
    <w:rsid w:val="00C42EE1"/>
    <w:rsid w:val="00C4396B"/>
    <w:rsid w:val="00C44ADA"/>
    <w:rsid w:val="00C44E0B"/>
    <w:rsid w:val="00C45A87"/>
    <w:rsid w:val="00C46060"/>
    <w:rsid w:val="00C46B4A"/>
    <w:rsid w:val="00C46D0A"/>
    <w:rsid w:val="00C50711"/>
    <w:rsid w:val="00C513B1"/>
    <w:rsid w:val="00C519C6"/>
    <w:rsid w:val="00C51A30"/>
    <w:rsid w:val="00C52137"/>
    <w:rsid w:val="00C523C6"/>
    <w:rsid w:val="00C5251F"/>
    <w:rsid w:val="00C525BA"/>
    <w:rsid w:val="00C52C4E"/>
    <w:rsid w:val="00C52D58"/>
    <w:rsid w:val="00C53065"/>
    <w:rsid w:val="00C54056"/>
    <w:rsid w:val="00C54204"/>
    <w:rsid w:val="00C5425F"/>
    <w:rsid w:val="00C54CBE"/>
    <w:rsid w:val="00C555F7"/>
    <w:rsid w:val="00C55EF8"/>
    <w:rsid w:val="00C56446"/>
    <w:rsid w:val="00C60863"/>
    <w:rsid w:val="00C610BD"/>
    <w:rsid w:val="00C621F6"/>
    <w:rsid w:val="00C62749"/>
    <w:rsid w:val="00C6285D"/>
    <w:rsid w:val="00C62A7F"/>
    <w:rsid w:val="00C639E3"/>
    <w:rsid w:val="00C640E3"/>
    <w:rsid w:val="00C6629A"/>
    <w:rsid w:val="00C6664C"/>
    <w:rsid w:val="00C66DFE"/>
    <w:rsid w:val="00C66EFB"/>
    <w:rsid w:val="00C671E3"/>
    <w:rsid w:val="00C6723F"/>
    <w:rsid w:val="00C67EFF"/>
    <w:rsid w:val="00C70563"/>
    <w:rsid w:val="00C71292"/>
    <w:rsid w:val="00C71484"/>
    <w:rsid w:val="00C716CA"/>
    <w:rsid w:val="00C72305"/>
    <w:rsid w:val="00C72750"/>
    <w:rsid w:val="00C73576"/>
    <w:rsid w:val="00C735A7"/>
    <w:rsid w:val="00C75A16"/>
    <w:rsid w:val="00C75EB5"/>
    <w:rsid w:val="00C76414"/>
    <w:rsid w:val="00C7686F"/>
    <w:rsid w:val="00C76B58"/>
    <w:rsid w:val="00C76FAC"/>
    <w:rsid w:val="00C7708F"/>
    <w:rsid w:val="00C83D90"/>
    <w:rsid w:val="00C84390"/>
    <w:rsid w:val="00C84A2F"/>
    <w:rsid w:val="00C8566F"/>
    <w:rsid w:val="00C859AE"/>
    <w:rsid w:val="00C860B4"/>
    <w:rsid w:val="00C864E3"/>
    <w:rsid w:val="00C86DFB"/>
    <w:rsid w:val="00C879FD"/>
    <w:rsid w:val="00C87C43"/>
    <w:rsid w:val="00C87E7F"/>
    <w:rsid w:val="00C91AEB"/>
    <w:rsid w:val="00C9391E"/>
    <w:rsid w:val="00C93B0E"/>
    <w:rsid w:val="00C93F0D"/>
    <w:rsid w:val="00C94C24"/>
    <w:rsid w:val="00C94E5E"/>
    <w:rsid w:val="00C94F06"/>
    <w:rsid w:val="00C95A8E"/>
    <w:rsid w:val="00C9734B"/>
    <w:rsid w:val="00C979D0"/>
    <w:rsid w:val="00C97E8B"/>
    <w:rsid w:val="00CA028E"/>
    <w:rsid w:val="00CA0C37"/>
    <w:rsid w:val="00CA0F88"/>
    <w:rsid w:val="00CA231E"/>
    <w:rsid w:val="00CA410E"/>
    <w:rsid w:val="00CA447E"/>
    <w:rsid w:val="00CA5230"/>
    <w:rsid w:val="00CA574A"/>
    <w:rsid w:val="00CA5A77"/>
    <w:rsid w:val="00CA72A7"/>
    <w:rsid w:val="00CA746D"/>
    <w:rsid w:val="00CA7A16"/>
    <w:rsid w:val="00CB0CDF"/>
    <w:rsid w:val="00CB0FE7"/>
    <w:rsid w:val="00CB1DDE"/>
    <w:rsid w:val="00CB20C7"/>
    <w:rsid w:val="00CB27FD"/>
    <w:rsid w:val="00CB3950"/>
    <w:rsid w:val="00CB3F58"/>
    <w:rsid w:val="00CB528D"/>
    <w:rsid w:val="00CB529E"/>
    <w:rsid w:val="00CB635C"/>
    <w:rsid w:val="00CB6A7A"/>
    <w:rsid w:val="00CB6BD8"/>
    <w:rsid w:val="00CB7223"/>
    <w:rsid w:val="00CB7321"/>
    <w:rsid w:val="00CB7E0A"/>
    <w:rsid w:val="00CC1337"/>
    <w:rsid w:val="00CC2241"/>
    <w:rsid w:val="00CC264F"/>
    <w:rsid w:val="00CC3027"/>
    <w:rsid w:val="00CC3BA8"/>
    <w:rsid w:val="00CC3FF2"/>
    <w:rsid w:val="00CC421B"/>
    <w:rsid w:val="00CC48E7"/>
    <w:rsid w:val="00CC6459"/>
    <w:rsid w:val="00CC71D5"/>
    <w:rsid w:val="00CC73CB"/>
    <w:rsid w:val="00CD04E3"/>
    <w:rsid w:val="00CD11AB"/>
    <w:rsid w:val="00CD1BC6"/>
    <w:rsid w:val="00CD27EE"/>
    <w:rsid w:val="00CD2CAD"/>
    <w:rsid w:val="00CD310E"/>
    <w:rsid w:val="00CD3736"/>
    <w:rsid w:val="00CD396E"/>
    <w:rsid w:val="00CD3E36"/>
    <w:rsid w:val="00CD3EEE"/>
    <w:rsid w:val="00CD5554"/>
    <w:rsid w:val="00CD5C9D"/>
    <w:rsid w:val="00CD6BB2"/>
    <w:rsid w:val="00CD6BCF"/>
    <w:rsid w:val="00CD7693"/>
    <w:rsid w:val="00CE0B06"/>
    <w:rsid w:val="00CE0EE7"/>
    <w:rsid w:val="00CE10BD"/>
    <w:rsid w:val="00CE1632"/>
    <w:rsid w:val="00CE1F17"/>
    <w:rsid w:val="00CE3575"/>
    <w:rsid w:val="00CE3679"/>
    <w:rsid w:val="00CE3C88"/>
    <w:rsid w:val="00CE50E3"/>
    <w:rsid w:val="00CE53B8"/>
    <w:rsid w:val="00CE5605"/>
    <w:rsid w:val="00CE5F05"/>
    <w:rsid w:val="00CE715B"/>
    <w:rsid w:val="00CE7F13"/>
    <w:rsid w:val="00CF0FBD"/>
    <w:rsid w:val="00CF0FFE"/>
    <w:rsid w:val="00CF15A9"/>
    <w:rsid w:val="00CF26BF"/>
    <w:rsid w:val="00CF2960"/>
    <w:rsid w:val="00CF2DFD"/>
    <w:rsid w:val="00CF37D4"/>
    <w:rsid w:val="00CF3FB2"/>
    <w:rsid w:val="00CF407F"/>
    <w:rsid w:val="00CF4095"/>
    <w:rsid w:val="00CF4B55"/>
    <w:rsid w:val="00CF4C55"/>
    <w:rsid w:val="00CF4F76"/>
    <w:rsid w:val="00CF5274"/>
    <w:rsid w:val="00CF5DA7"/>
    <w:rsid w:val="00CF63C6"/>
    <w:rsid w:val="00CF66A7"/>
    <w:rsid w:val="00CF736E"/>
    <w:rsid w:val="00CF7F54"/>
    <w:rsid w:val="00D004BE"/>
    <w:rsid w:val="00D0079D"/>
    <w:rsid w:val="00D00852"/>
    <w:rsid w:val="00D00DBC"/>
    <w:rsid w:val="00D02CAE"/>
    <w:rsid w:val="00D03586"/>
    <w:rsid w:val="00D03A46"/>
    <w:rsid w:val="00D03B28"/>
    <w:rsid w:val="00D03FA6"/>
    <w:rsid w:val="00D05726"/>
    <w:rsid w:val="00D05749"/>
    <w:rsid w:val="00D06C39"/>
    <w:rsid w:val="00D06E8A"/>
    <w:rsid w:val="00D075C6"/>
    <w:rsid w:val="00D0786B"/>
    <w:rsid w:val="00D07AF4"/>
    <w:rsid w:val="00D102C6"/>
    <w:rsid w:val="00D1164C"/>
    <w:rsid w:val="00D1264E"/>
    <w:rsid w:val="00D12E37"/>
    <w:rsid w:val="00D132D8"/>
    <w:rsid w:val="00D13303"/>
    <w:rsid w:val="00D13746"/>
    <w:rsid w:val="00D137D4"/>
    <w:rsid w:val="00D139A0"/>
    <w:rsid w:val="00D14EED"/>
    <w:rsid w:val="00D14FB9"/>
    <w:rsid w:val="00D1535A"/>
    <w:rsid w:val="00D16870"/>
    <w:rsid w:val="00D17083"/>
    <w:rsid w:val="00D17A4C"/>
    <w:rsid w:val="00D17AF9"/>
    <w:rsid w:val="00D17E44"/>
    <w:rsid w:val="00D213E9"/>
    <w:rsid w:val="00D223E6"/>
    <w:rsid w:val="00D239CA"/>
    <w:rsid w:val="00D25D83"/>
    <w:rsid w:val="00D26939"/>
    <w:rsid w:val="00D272D5"/>
    <w:rsid w:val="00D30E72"/>
    <w:rsid w:val="00D326BB"/>
    <w:rsid w:val="00D33B6C"/>
    <w:rsid w:val="00D3454C"/>
    <w:rsid w:val="00D35B84"/>
    <w:rsid w:val="00D36E40"/>
    <w:rsid w:val="00D371A7"/>
    <w:rsid w:val="00D37F45"/>
    <w:rsid w:val="00D4105E"/>
    <w:rsid w:val="00D4140C"/>
    <w:rsid w:val="00D414C2"/>
    <w:rsid w:val="00D41BE6"/>
    <w:rsid w:val="00D427B2"/>
    <w:rsid w:val="00D42B1D"/>
    <w:rsid w:val="00D42E24"/>
    <w:rsid w:val="00D440A8"/>
    <w:rsid w:val="00D440FE"/>
    <w:rsid w:val="00D44A44"/>
    <w:rsid w:val="00D455B0"/>
    <w:rsid w:val="00D46107"/>
    <w:rsid w:val="00D47467"/>
    <w:rsid w:val="00D478E8"/>
    <w:rsid w:val="00D47C4A"/>
    <w:rsid w:val="00D50854"/>
    <w:rsid w:val="00D50899"/>
    <w:rsid w:val="00D50955"/>
    <w:rsid w:val="00D51725"/>
    <w:rsid w:val="00D51B75"/>
    <w:rsid w:val="00D51DCD"/>
    <w:rsid w:val="00D526C9"/>
    <w:rsid w:val="00D52CE5"/>
    <w:rsid w:val="00D53530"/>
    <w:rsid w:val="00D53601"/>
    <w:rsid w:val="00D54158"/>
    <w:rsid w:val="00D56216"/>
    <w:rsid w:val="00D56429"/>
    <w:rsid w:val="00D5688B"/>
    <w:rsid w:val="00D57375"/>
    <w:rsid w:val="00D57BD0"/>
    <w:rsid w:val="00D60DAA"/>
    <w:rsid w:val="00D62B84"/>
    <w:rsid w:val="00D636D3"/>
    <w:rsid w:val="00D6376A"/>
    <w:rsid w:val="00D63AE8"/>
    <w:rsid w:val="00D63D40"/>
    <w:rsid w:val="00D63D53"/>
    <w:rsid w:val="00D64A57"/>
    <w:rsid w:val="00D65226"/>
    <w:rsid w:val="00D652AE"/>
    <w:rsid w:val="00D6557C"/>
    <w:rsid w:val="00D66AD3"/>
    <w:rsid w:val="00D66F44"/>
    <w:rsid w:val="00D66F5F"/>
    <w:rsid w:val="00D72181"/>
    <w:rsid w:val="00D7260D"/>
    <w:rsid w:val="00D728CC"/>
    <w:rsid w:val="00D7396F"/>
    <w:rsid w:val="00D73ED6"/>
    <w:rsid w:val="00D748DA"/>
    <w:rsid w:val="00D7523E"/>
    <w:rsid w:val="00D767D2"/>
    <w:rsid w:val="00D76A33"/>
    <w:rsid w:val="00D76E00"/>
    <w:rsid w:val="00D77002"/>
    <w:rsid w:val="00D77257"/>
    <w:rsid w:val="00D779CE"/>
    <w:rsid w:val="00D806FB"/>
    <w:rsid w:val="00D80938"/>
    <w:rsid w:val="00D80A77"/>
    <w:rsid w:val="00D80A89"/>
    <w:rsid w:val="00D8152F"/>
    <w:rsid w:val="00D81AF1"/>
    <w:rsid w:val="00D82650"/>
    <w:rsid w:val="00D843D7"/>
    <w:rsid w:val="00D844A8"/>
    <w:rsid w:val="00D84B5D"/>
    <w:rsid w:val="00D84E4B"/>
    <w:rsid w:val="00D85579"/>
    <w:rsid w:val="00D85A9D"/>
    <w:rsid w:val="00D85EEB"/>
    <w:rsid w:val="00D86049"/>
    <w:rsid w:val="00D86B7C"/>
    <w:rsid w:val="00D870F9"/>
    <w:rsid w:val="00D878ED"/>
    <w:rsid w:val="00D8799E"/>
    <w:rsid w:val="00D90345"/>
    <w:rsid w:val="00D906AD"/>
    <w:rsid w:val="00D911CD"/>
    <w:rsid w:val="00D928CE"/>
    <w:rsid w:val="00D92A4E"/>
    <w:rsid w:val="00D94B10"/>
    <w:rsid w:val="00D953A2"/>
    <w:rsid w:val="00D954F7"/>
    <w:rsid w:val="00D95BB2"/>
    <w:rsid w:val="00D96584"/>
    <w:rsid w:val="00D97BA6"/>
    <w:rsid w:val="00D97CD2"/>
    <w:rsid w:val="00D97D5E"/>
    <w:rsid w:val="00DA042A"/>
    <w:rsid w:val="00DA0A3C"/>
    <w:rsid w:val="00DA1A8D"/>
    <w:rsid w:val="00DA2106"/>
    <w:rsid w:val="00DA2C6A"/>
    <w:rsid w:val="00DA2E13"/>
    <w:rsid w:val="00DA3787"/>
    <w:rsid w:val="00DA4017"/>
    <w:rsid w:val="00DA4591"/>
    <w:rsid w:val="00DA4EAC"/>
    <w:rsid w:val="00DA5B94"/>
    <w:rsid w:val="00DA60F6"/>
    <w:rsid w:val="00DA6CF7"/>
    <w:rsid w:val="00DA6E01"/>
    <w:rsid w:val="00DA72DC"/>
    <w:rsid w:val="00DB16ED"/>
    <w:rsid w:val="00DB1D2A"/>
    <w:rsid w:val="00DB52BB"/>
    <w:rsid w:val="00DB5C76"/>
    <w:rsid w:val="00DB5E88"/>
    <w:rsid w:val="00DB7468"/>
    <w:rsid w:val="00DC0159"/>
    <w:rsid w:val="00DC0500"/>
    <w:rsid w:val="00DC0515"/>
    <w:rsid w:val="00DC0F0A"/>
    <w:rsid w:val="00DC1235"/>
    <w:rsid w:val="00DC1BB3"/>
    <w:rsid w:val="00DC1D45"/>
    <w:rsid w:val="00DC1DB4"/>
    <w:rsid w:val="00DC23A9"/>
    <w:rsid w:val="00DC27D1"/>
    <w:rsid w:val="00DC2A51"/>
    <w:rsid w:val="00DC2BA8"/>
    <w:rsid w:val="00DC377E"/>
    <w:rsid w:val="00DC3CDC"/>
    <w:rsid w:val="00DC46F3"/>
    <w:rsid w:val="00DC4888"/>
    <w:rsid w:val="00DC5090"/>
    <w:rsid w:val="00DC54D8"/>
    <w:rsid w:val="00DC55D0"/>
    <w:rsid w:val="00DC66B6"/>
    <w:rsid w:val="00DD09EC"/>
    <w:rsid w:val="00DD0EA0"/>
    <w:rsid w:val="00DD1675"/>
    <w:rsid w:val="00DD1854"/>
    <w:rsid w:val="00DD1D05"/>
    <w:rsid w:val="00DD2526"/>
    <w:rsid w:val="00DD2B27"/>
    <w:rsid w:val="00DD2F32"/>
    <w:rsid w:val="00DD32EB"/>
    <w:rsid w:val="00DD3444"/>
    <w:rsid w:val="00DD3797"/>
    <w:rsid w:val="00DD3B3E"/>
    <w:rsid w:val="00DD3B94"/>
    <w:rsid w:val="00DD3EB3"/>
    <w:rsid w:val="00DD4217"/>
    <w:rsid w:val="00DD46EB"/>
    <w:rsid w:val="00DD4FB8"/>
    <w:rsid w:val="00DD5518"/>
    <w:rsid w:val="00DD613F"/>
    <w:rsid w:val="00DD68B0"/>
    <w:rsid w:val="00DD69DD"/>
    <w:rsid w:val="00DD6D89"/>
    <w:rsid w:val="00DD6D90"/>
    <w:rsid w:val="00DD7411"/>
    <w:rsid w:val="00DD776A"/>
    <w:rsid w:val="00DE0AC3"/>
    <w:rsid w:val="00DE14FF"/>
    <w:rsid w:val="00DE1BA1"/>
    <w:rsid w:val="00DE261E"/>
    <w:rsid w:val="00DE2847"/>
    <w:rsid w:val="00DE2EB9"/>
    <w:rsid w:val="00DE35DB"/>
    <w:rsid w:val="00DE3D31"/>
    <w:rsid w:val="00DE3FA5"/>
    <w:rsid w:val="00DE41C4"/>
    <w:rsid w:val="00DE5841"/>
    <w:rsid w:val="00DE7144"/>
    <w:rsid w:val="00DE74D2"/>
    <w:rsid w:val="00DE7BC0"/>
    <w:rsid w:val="00DF02BB"/>
    <w:rsid w:val="00DF0C6A"/>
    <w:rsid w:val="00DF3569"/>
    <w:rsid w:val="00DF36AC"/>
    <w:rsid w:val="00DF3B3E"/>
    <w:rsid w:val="00DF44D1"/>
    <w:rsid w:val="00DF4B2B"/>
    <w:rsid w:val="00DF4EC0"/>
    <w:rsid w:val="00DF7635"/>
    <w:rsid w:val="00E006E9"/>
    <w:rsid w:val="00E00C04"/>
    <w:rsid w:val="00E023A4"/>
    <w:rsid w:val="00E02678"/>
    <w:rsid w:val="00E02D35"/>
    <w:rsid w:val="00E0305A"/>
    <w:rsid w:val="00E038A4"/>
    <w:rsid w:val="00E05784"/>
    <w:rsid w:val="00E06015"/>
    <w:rsid w:val="00E0747B"/>
    <w:rsid w:val="00E076CF"/>
    <w:rsid w:val="00E076F3"/>
    <w:rsid w:val="00E1159B"/>
    <w:rsid w:val="00E11C60"/>
    <w:rsid w:val="00E11D38"/>
    <w:rsid w:val="00E11D56"/>
    <w:rsid w:val="00E13B90"/>
    <w:rsid w:val="00E14393"/>
    <w:rsid w:val="00E149BA"/>
    <w:rsid w:val="00E164A3"/>
    <w:rsid w:val="00E1655A"/>
    <w:rsid w:val="00E1699C"/>
    <w:rsid w:val="00E16D15"/>
    <w:rsid w:val="00E17593"/>
    <w:rsid w:val="00E17597"/>
    <w:rsid w:val="00E17D85"/>
    <w:rsid w:val="00E20402"/>
    <w:rsid w:val="00E216A6"/>
    <w:rsid w:val="00E2224A"/>
    <w:rsid w:val="00E22B37"/>
    <w:rsid w:val="00E2310D"/>
    <w:rsid w:val="00E24DCE"/>
    <w:rsid w:val="00E24F37"/>
    <w:rsid w:val="00E253B6"/>
    <w:rsid w:val="00E25E82"/>
    <w:rsid w:val="00E26E20"/>
    <w:rsid w:val="00E2749E"/>
    <w:rsid w:val="00E3090C"/>
    <w:rsid w:val="00E31867"/>
    <w:rsid w:val="00E31F0B"/>
    <w:rsid w:val="00E32639"/>
    <w:rsid w:val="00E32919"/>
    <w:rsid w:val="00E332F7"/>
    <w:rsid w:val="00E335F2"/>
    <w:rsid w:val="00E33B57"/>
    <w:rsid w:val="00E35B18"/>
    <w:rsid w:val="00E3699A"/>
    <w:rsid w:val="00E36F79"/>
    <w:rsid w:val="00E374E0"/>
    <w:rsid w:val="00E37D90"/>
    <w:rsid w:val="00E37F39"/>
    <w:rsid w:val="00E37FF3"/>
    <w:rsid w:val="00E41F53"/>
    <w:rsid w:val="00E4441A"/>
    <w:rsid w:val="00E44518"/>
    <w:rsid w:val="00E45C3B"/>
    <w:rsid w:val="00E45FD5"/>
    <w:rsid w:val="00E47430"/>
    <w:rsid w:val="00E4775F"/>
    <w:rsid w:val="00E50484"/>
    <w:rsid w:val="00E50E28"/>
    <w:rsid w:val="00E51C31"/>
    <w:rsid w:val="00E523F8"/>
    <w:rsid w:val="00E53FA3"/>
    <w:rsid w:val="00E548A3"/>
    <w:rsid w:val="00E54A38"/>
    <w:rsid w:val="00E55A25"/>
    <w:rsid w:val="00E564DF"/>
    <w:rsid w:val="00E56E7E"/>
    <w:rsid w:val="00E57D0E"/>
    <w:rsid w:val="00E57DB2"/>
    <w:rsid w:val="00E60E10"/>
    <w:rsid w:val="00E611FF"/>
    <w:rsid w:val="00E61B9F"/>
    <w:rsid w:val="00E61C73"/>
    <w:rsid w:val="00E6233B"/>
    <w:rsid w:val="00E630A0"/>
    <w:rsid w:val="00E631D9"/>
    <w:rsid w:val="00E639D3"/>
    <w:rsid w:val="00E63A08"/>
    <w:rsid w:val="00E65518"/>
    <w:rsid w:val="00E6584B"/>
    <w:rsid w:val="00E66B40"/>
    <w:rsid w:val="00E67461"/>
    <w:rsid w:val="00E704C3"/>
    <w:rsid w:val="00E742D9"/>
    <w:rsid w:val="00E746CA"/>
    <w:rsid w:val="00E74935"/>
    <w:rsid w:val="00E74D87"/>
    <w:rsid w:val="00E75125"/>
    <w:rsid w:val="00E76758"/>
    <w:rsid w:val="00E768F6"/>
    <w:rsid w:val="00E814AC"/>
    <w:rsid w:val="00E81B84"/>
    <w:rsid w:val="00E81C52"/>
    <w:rsid w:val="00E82A7A"/>
    <w:rsid w:val="00E8373E"/>
    <w:rsid w:val="00E84C8A"/>
    <w:rsid w:val="00E855F6"/>
    <w:rsid w:val="00E867B4"/>
    <w:rsid w:val="00E87F29"/>
    <w:rsid w:val="00E914C6"/>
    <w:rsid w:val="00E917E1"/>
    <w:rsid w:val="00E91F9F"/>
    <w:rsid w:val="00E9253B"/>
    <w:rsid w:val="00E925E7"/>
    <w:rsid w:val="00E92C22"/>
    <w:rsid w:val="00E92F00"/>
    <w:rsid w:val="00E94A2D"/>
    <w:rsid w:val="00E950E7"/>
    <w:rsid w:val="00E952E9"/>
    <w:rsid w:val="00E958F1"/>
    <w:rsid w:val="00E95968"/>
    <w:rsid w:val="00E96080"/>
    <w:rsid w:val="00E964DE"/>
    <w:rsid w:val="00E96D56"/>
    <w:rsid w:val="00E974DB"/>
    <w:rsid w:val="00E9758C"/>
    <w:rsid w:val="00E97592"/>
    <w:rsid w:val="00E97F4A"/>
    <w:rsid w:val="00EA061A"/>
    <w:rsid w:val="00EA1F9A"/>
    <w:rsid w:val="00EA2A81"/>
    <w:rsid w:val="00EA35D6"/>
    <w:rsid w:val="00EA367D"/>
    <w:rsid w:val="00EA6965"/>
    <w:rsid w:val="00EA7477"/>
    <w:rsid w:val="00EA77F3"/>
    <w:rsid w:val="00EA780F"/>
    <w:rsid w:val="00EB186B"/>
    <w:rsid w:val="00EB2328"/>
    <w:rsid w:val="00EB281F"/>
    <w:rsid w:val="00EB3602"/>
    <w:rsid w:val="00EB3B58"/>
    <w:rsid w:val="00EB4304"/>
    <w:rsid w:val="00EB5D6A"/>
    <w:rsid w:val="00EB631F"/>
    <w:rsid w:val="00EB647F"/>
    <w:rsid w:val="00EB7185"/>
    <w:rsid w:val="00EB750F"/>
    <w:rsid w:val="00EC135C"/>
    <w:rsid w:val="00EC13D1"/>
    <w:rsid w:val="00EC13F0"/>
    <w:rsid w:val="00EC20C2"/>
    <w:rsid w:val="00EC36A2"/>
    <w:rsid w:val="00EC3F55"/>
    <w:rsid w:val="00EC40C0"/>
    <w:rsid w:val="00EC4662"/>
    <w:rsid w:val="00EC53C5"/>
    <w:rsid w:val="00EC55AE"/>
    <w:rsid w:val="00EC5D8C"/>
    <w:rsid w:val="00EC755C"/>
    <w:rsid w:val="00EC7C28"/>
    <w:rsid w:val="00ED0125"/>
    <w:rsid w:val="00ED140F"/>
    <w:rsid w:val="00ED1BBC"/>
    <w:rsid w:val="00ED2A8A"/>
    <w:rsid w:val="00ED32CD"/>
    <w:rsid w:val="00ED488F"/>
    <w:rsid w:val="00ED4FD1"/>
    <w:rsid w:val="00ED50CF"/>
    <w:rsid w:val="00ED6B71"/>
    <w:rsid w:val="00EE00AB"/>
    <w:rsid w:val="00EE0FC7"/>
    <w:rsid w:val="00EE1765"/>
    <w:rsid w:val="00EE3BBC"/>
    <w:rsid w:val="00EE3CB1"/>
    <w:rsid w:val="00EE3CF0"/>
    <w:rsid w:val="00EE3D50"/>
    <w:rsid w:val="00EE433C"/>
    <w:rsid w:val="00EE4FDC"/>
    <w:rsid w:val="00EE56FD"/>
    <w:rsid w:val="00EE581C"/>
    <w:rsid w:val="00EE6263"/>
    <w:rsid w:val="00EE7591"/>
    <w:rsid w:val="00EE772F"/>
    <w:rsid w:val="00EE79C9"/>
    <w:rsid w:val="00EF0BCA"/>
    <w:rsid w:val="00EF3A14"/>
    <w:rsid w:val="00EF3A3E"/>
    <w:rsid w:val="00EF3ED3"/>
    <w:rsid w:val="00EF45C3"/>
    <w:rsid w:val="00EF477B"/>
    <w:rsid w:val="00EF572B"/>
    <w:rsid w:val="00EF617A"/>
    <w:rsid w:val="00EF6A43"/>
    <w:rsid w:val="00EF6E86"/>
    <w:rsid w:val="00EF7B4E"/>
    <w:rsid w:val="00F0000F"/>
    <w:rsid w:val="00F00AF7"/>
    <w:rsid w:val="00F01066"/>
    <w:rsid w:val="00F01F89"/>
    <w:rsid w:val="00F02617"/>
    <w:rsid w:val="00F02C65"/>
    <w:rsid w:val="00F033E6"/>
    <w:rsid w:val="00F03509"/>
    <w:rsid w:val="00F03641"/>
    <w:rsid w:val="00F03974"/>
    <w:rsid w:val="00F04674"/>
    <w:rsid w:val="00F05F9A"/>
    <w:rsid w:val="00F06270"/>
    <w:rsid w:val="00F06EE7"/>
    <w:rsid w:val="00F074BB"/>
    <w:rsid w:val="00F07694"/>
    <w:rsid w:val="00F077D2"/>
    <w:rsid w:val="00F07BDD"/>
    <w:rsid w:val="00F101F5"/>
    <w:rsid w:val="00F11D65"/>
    <w:rsid w:val="00F11EDC"/>
    <w:rsid w:val="00F123A1"/>
    <w:rsid w:val="00F12AFA"/>
    <w:rsid w:val="00F12D19"/>
    <w:rsid w:val="00F13DDF"/>
    <w:rsid w:val="00F1412A"/>
    <w:rsid w:val="00F1495D"/>
    <w:rsid w:val="00F151F1"/>
    <w:rsid w:val="00F1588F"/>
    <w:rsid w:val="00F16A55"/>
    <w:rsid w:val="00F171EE"/>
    <w:rsid w:val="00F201C5"/>
    <w:rsid w:val="00F20DBE"/>
    <w:rsid w:val="00F2286C"/>
    <w:rsid w:val="00F22B9D"/>
    <w:rsid w:val="00F23085"/>
    <w:rsid w:val="00F2379B"/>
    <w:rsid w:val="00F23A6B"/>
    <w:rsid w:val="00F23C29"/>
    <w:rsid w:val="00F24725"/>
    <w:rsid w:val="00F24C7C"/>
    <w:rsid w:val="00F24E96"/>
    <w:rsid w:val="00F24E9B"/>
    <w:rsid w:val="00F25EF7"/>
    <w:rsid w:val="00F25FBE"/>
    <w:rsid w:val="00F260E2"/>
    <w:rsid w:val="00F2612F"/>
    <w:rsid w:val="00F262AB"/>
    <w:rsid w:val="00F26605"/>
    <w:rsid w:val="00F266D8"/>
    <w:rsid w:val="00F26857"/>
    <w:rsid w:val="00F27518"/>
    <w:rsid w:val="00F27DE2"/>
    <w:rsid w:val="00F30154"/>
    <w:rsid w:val="00F30A81"/>
    <w:rsid w:val="00F30EA5"/>
    <w:rsid w:val="00F32CC2"/>
    <w:rsid w:val="00F3385A"/>
    <w:rsid w:val="00F33BEF"/>
    <w:rsid w:val="00F33E6F"/>
    <w:rsid w:val="00F3439B"/>
    <w:rsid w:val="00F348A1"/>
    <w:rsid w:val="00F34DF6"/>
    <w:rsid w:val="00F35348"/>
    <w:rsid w:val="00F36E4A"/>
    <w:rsid w:val="00F3701D"/>
    <w:rsid w:val="00F374BF"/>
    <w:rsid w:val="00F3790C"/>
    <w:rsid w:val="00F37CB0"/>
    <w:rsid w:val="00F41141"/>
    <w:rsid w:val="00F41729"/>
    <w:rsid w:val="00F42328"/>
    <w:rsid w:val="00F424AF"/>
    <w:rsid w:val="00F42671"/>
    <w:rsid w:val="00F433E6"/>
    <w:rsid w:val="00F4420E"/>
    <w:rsid w:val="00F44E11"/>
    <w:rsid w:val="00F45B51"/>
    <w:rsid w:val="00F469C0"/>
    <w:rsid w:val="00F46F8E"/>
    <w:rsid w:val="00F5024B"/>
    <w:rsid w:val="00F50CB0"/>
    <w:rsid w:val="00F512A7"/>
    <w:rsid w:val="00F522EE"/>
    <w:rsid w:val="00F526B1"/>
    <w:rsid w:val="00F54657"/>
    <w:rsid w:val="00F549C9"/>
    <w:rsid w:val="00F555E4"/>
    <w:rsid w:val="00F55A63"/>
    <w:rsid w:val="00F55B94"/>
    <w:rsid w:val="00F55C10"/>
    <w:rsid w:val="00F5654A"/>
    <w:rsid w:val="00F56B49"/>
    <w:rsid w:val="00F56DC0"/>
    <w:rsid w:val="00F5791E"/>
    <w:rsid w:val="00F60452"/>
    <w:rsid w:val="00F6046F"/>
    <w:rsid w:val="00F612C8"/>
    <w:rsid w:val="00F615F3"/>
    <w:rsid w:val="00F61C65"/>
    <w:rsid w:val="00F61DE6"/>
    <w:rsid w:val="00F625C8"/>
    <w:rsid w:val="00F62A84"/>
    <w:rsid w:val="00F6330A"/>
    <w:rsid w:val="00F64376"/>
    <w:rsid w:val="00F64874"/>
    <w:rsid w:val="00F65E42"/>
    <w:rsid w:val="00F66A3B"/>
    <w:rsid w:val="00F66E41"/>
    <w:rsid w:val="00F66FE7"/>
    <w:rsid w:val="00F6728C"/>
    <w:rsid w:val="00F67A38"/>
    <w:rsid w:val="00F67B5D"/>
    <w:rsid w:val="00F7000C"/>
    <w:rsid w:val="00F702C2"/>
    <w:rsid w:val="00F7058D"/>
    <w:rsid w:val="00F705AA"/>
    <w:rsid w:val="00F71008"/>
    <w:rsid w:val="00F71AC1"/>
    <w:rsid w:val="00F74355"/>
    <w:rsid w:val="00F749D4"/>
    <w:rsid w:val="00F75231"/>
    <w:rsid w:val="00F75823"/>
    <w:rsid w:val="00F75F27"/>
    <w:rsid w:val="00F76DF7"/>
    <w:rsid w:val="00F77696"/>
    <w:rsid w:val="00F77A4B"/>
    <w:rsid w:val="00F77DC4"/>
    <w:rsid w:val="00F808EC"/>
    <w:rsid w:val="00F8092D"/>
    <w:rsid w:val="00F80979"/>
    <w:rsid w:val="00F817A4"/>
    <w:rsid w:val="00F81978"/>
    <w:rsid w:val="00F81FA6"/>
    <w:rsid w:val="00F837E2"/>
    <w:rsid w:val="00F84032"/>
    <w:rsid w:val="00F84A29"/>
    <w:rsid w:val="00F85AAC"/>
    <w:rsid w:val="00F86760"/>
    <w:rsid w:val="00F911E8"/>
    <w:rsid w:val="00F913C1"/>
    <w:rsid w:val="00F91475"/>
    <w:rsid w:val="00F91ACE"/>
    <w:rsid w:val="00F91CB6"/>
    <w:rsid w:val="00F91E20"/>
    <w:rsid w:val="00F93030"/>
    <w:rsid w:val="00F93292"/>
    <w:rsid w:val="00F9465F"/>
    <w:rsid w:val="00F95F06"/>
    <w:rsid w:val="00F95FF6"/>
    <w:rsid w:val="00F96C24"/>
    <w:rsid w:val="00F973D2"/>
    <w:rsid w:val="00F97EF5"/>
    <w:rsid w:val="00FA0FC5"/>
    <w:rsid w:val="00FA19E8"/>
    <w:rsid w:val="00FA2E06"/>
    <w:rsid w:val="00FA2F54"/>
    <w:rsid w:val="00FA5090"/>
    <w:rsid w:val="00FA5A84"/>
    <w:rsid w:val="00FA5DF8"/>
    <w:rsid w:val="00FA68D4"/>
    <w:rsid w:val="00FA72A2"/>
    <w:rsid w:val="00FB1ADD"/>
    <w:rsid w:val="00FB48D4"/>
    <w:rsid w:val="00FB5C21"/>
    <w:rsid w:val="00FB65C9"/>
    <w:rsid w:val="00FB68C1"/>
    <w:rsid w:val="00FB6C61"/>
    <w:rsid w:val="00FB737D"/>
    <w:rsid w:val="00FC0871"/>
    <w:rsid w:val="00FC0EAE"/>
    <w:rsid w:val="00FC13CF"/>
    <w:rsid w:val="00FC1998"/>
    <w:rsid w:val="00FC2012"/>
    <w:rsid w:val="00FC27B2"/>
    <w:rsid w:val="00FC351C"/>
    <w:rsid w:val="00FC5373"/>
    <w:rsid w:val="00FC5AA4"/>
    <w:rsid w:val="00FC5B91"/>
    <w:rsid w:val="00FC65A2"/>
    <w:rsid w:val="00FC79D0"/>
    <w:rsid w:val="00FD1D75"/>
    <w:rsid w:val="00FD20EF"/>
    <w:rsid w:val="00FD244D"/>
    <w:rsid w:val="00FD25E3"/>
    <w:rsid w:val="00FD280B"/>
    <w:rsid w:val="00FD3D3B"/>
    <w:rsid w:val="00FD4046"/>
    <w:rsid w:val="00FD45CF"/>
    <w:rsid w:val="00FD54C3"/>
    <w:rsid w:val="00FD5A65"/>
    <w:rsid w:val="00FD5E72"/>
    <w:rsid w:val="00FE04C3"/>
    <w:rsid w:val="00FE0B10"/>
    <w:rsid w:val="00FE2429"/>
    <w:rsid w:val="00FE2EE5"/>
    <w:rsid w:val="00FE3B3F"/>
    <w:rsid w:val="00FE4D67"/>
    <w:rsid w:val="00FE519C"/>
    <w:rsid w:val="00FE5253"/>
    <w:rsid w:val="00FE57C2"/>
    <w:rsid w:val="00FE77D1"/>
    <w:rsid w:val="00FF00BE"/>
    <w:rsid w:val="00FF1946"/>
    <w:rsid w:val="00FF1A57"/>
    <w:rsid w:val="00FF1D28"/>
    <w:rsid w:val="00FF247C"/>
    <w:rsid w:val="00FF32A1"/>
    <w:rsid w:val="00FF41BA"/>
    <w:rsid w:val="00FF4E89"/>
    <w:rsid w:val="00FF544C"/>
    <w:rsid w:val="00FF5FF8"/>
    <w:rsid w:val="00FF60E9"/>
    <w:rsid w:val="00FF6331"/>
    <w:rsid w:val="00FF7255"/>
    <w:rsid w:val="08A389E2"/>
    <w:rsid w:val="4E151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D17DE"/>
  <w15:chartTrackingRefBased/>
  <w15:docId w15:val="{7C2FA8FB-A4BD-49C9-9809-5635FB29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A5227A"/>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A5227A"/>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A5227A"/>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2261B3"/>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unhideWhenUsed/>
    <w:qFormat/>
    <w:rsid w:val="002261B3"/>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A5227A"/>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unhideWhenUsed/>
    <w:qFormat/>
    <w:rsid w:val="00A5227A"/>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A5227A"/>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A5227A"/>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Theme="majorEastAsia"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1"/>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1"/>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ED4FD1"/>
    <w:rPr>
      <w:rFonts w:ascii="Times New Roman" w:hAnsi="Times New Roman" w:cs="Times New Roman"/>
      <w:sz w:val="26"/>
      <w:szCs w:val="20"/>
    </w:rPr>
  </w:style>
  <w:style w:type="paragraph" w:customStyle="1" w:styleId="BlockIndent">
    <w:name w:val="Block Indent"/>
    <w:basedOn w:val="Normal"/>
    <w:next w:val="FERCparanumber"/>
    <w:link w:val="BlockIndentChar"/>
    <w:rsid w:val="00876667"/>
    <w:pPr>
      <w:widowControl/>
      <w:spacing w:after="240"/>
      <w:ind w:left="1440" w:right="1440"/>
    </w:pPr>
  </w:style>
  <w:style w:type="character" w:customStyle="1" w:styleId="BlockIndentChar">
    <w:name w:val="Block Indent Char"/>
    <w:basedOn w:val="FERCparanumberChar"/>
    <w:link w:val="BlockIndent"/>
    <w:rsid w:val="00876667"/>
    <w:rPr>
      <w:rFonts w:ascii="Times New Roman" w:hAnsi="Times New Roman" w:cs="Times New Roman"/>
      <w:sz w:val="26"/>
    </w:rPr>
  </w:style>
  <w:style w:type="paragraph" w:styleId="Revision">
    <w:name w:val="Revision"/>
    <w:hidden/>
    <w:uiPriority w:val="99"/>
    <w:semiHidden/>
    <w:rsid w:val="00F76DF7"/>
    <w:pPr>
      <w:spacing w:after="0" w:line="240" w:lineRule="auto"/>
    </w:pPr>
    <w:rPr>
      <w:rFonts w:ascii="Times New Roman" w:hAnsi="Times New Roman" w:cs="Times New Roman"/>
      <w:sz w:val="26"/>
    </w:rPr>
  </w:style>
  <w:style w:type="character" w:styleId="Mention">
    <w:name w:val="Mention"/>
    <w:basedOn w:val="DefaultParagraphFont"/>
    <w:uiPriority w:val="99"/>
    <w:unhideWhenUsed/>
    <w:rsid w:val="00586A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4962">
      <w:bodyDiv w:val="1"/>
      <w:marLeft w:val="0"/>
      <w:marRight w:val="0"/>
      <w:marTop w:val="0"/>
      <w:marBottom w:val="0"/>
      <w:divBdr>
        <w:top w:val="none" w:sz="0" w:space="0" w:color="auto"/>
        <w:left w:val="none" w:sz="0" w:space="0" w:color="auto"/>
        <w:bottom w:val="none" w:sz="0" w:space="0" w:color="auto"/>
        <w:right w:val="none" w:sz="0" w:space="0" w:color="auto"/>
      </w:divBdr>
    </w:div>
    <w:div w:id="969163592">
      <w:bodyDiv w:val="1"/>
      <w:marLeft w:val="0"/>
      <w:marRight w:val="0"/>
      <w:marTop w:val="0"/>
      <w:marBottom w:val="0"/>
      <w:divBdr>
        <w:top w:val="none" w:sz="0" w:space="0" w:color="auto"/>
        <w:left w:val="none" w:sz="0" w:space="0" w:color="auto"/>
        <w:bottom w:val="none" w:sz="0" w:space="0" w:color="auto"/>
        <w:right w:val="none" w:sz="0" w:space="0" w:color="auto"/>
      </w:divBdr>
    </w:div>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2087726247">
      <w:bodyDiv w:val="1"/>
      <w:marLeft w:val="0"/>
      <w:marRight w:val="0"/>
      <w:marTop w:val="0"/>
      <w:marBottom w:val="0"/>
      <w:divBdr>
        <w:top w:val="none" w:sz="0" w:space="0" w:color="auto"/>
        <w:left w:val="none" w:sz="0" w:space="0" w:color="auto"/>
        <w:bottom w:val="none" w:sz="0" w:space="0" w:color="auto"/>
        <w:right w:val="none" w:sz="0" w:space="0" w:color="auto"/>
      </w:divBdr>
      <w:divsChild>
        <w:div w:id="1414669161">
          <w:marLeft w:val="0"/>
          <w:marRight w:val="0"/>
          <w:marTop w:val="0"/>
          <w:marBottom w:val="0"/>
          <w:divBdr>
            <w:top w:val="none" w:sz="0" w:space="0" w:color="3D3D3D"/>
            <w:left w:val="none" w:sz="0" w:space="0" w:color="3D3D3D"/>
            <w:bottom w:val="none" w:sz="0" w:space="0" w:color="3D3D3D"/>
            <w:right w:val="none" w:sz="0" w:space="0" w:color="3D3D3D"/>
          </w:divBdr>
          <w:divsChild>
            <w:div w:id="14509754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enrik xmlns="1c4d59ec-3ca7-45ae-8048-ac80299584db">
      <UserInfo>
        <DisplayName/>
        <AccountId xsi:nil="true"/>
        <AccountType/>
      </UserInfo>
    </Henrik>
    <lcf76f155ced4ddcb4097134ff3c332f xmlns="1c4d59ec-3ca7-45ae-8048-ac80299584db">
      <Terms xmlns="http://schemas.microsoft.com/office/infopath/2007/PartnerControls"/>
    </lcf76f155ced4ddcb4097134ff3c332f>
    <TaxCatchAll xmlns="5e207819-3fdd-4ee3-a2f3-ad4d7cb8361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90DCD48A7FCC408DC1127391EAAA44" ma:contentTypeVersion="16" ma:contentTypeDescription="Create a new document." ma:contentTypeScope="" ma:versionID="f4f138a7e4d7c217f775531f16d3f2b5">
  <xsd:schema xmlns:xsd="http://www.w3.org/2001/XMLSchema" xmlns:xs="http://www.w3.org/2001/XMLSchema" xmlns:p="http://schemas.microsoft.com/office/2006/metadata/properties" xmlns:ns2="1c4d59ec-3ca7-45ae-8048-ac80299584db" xmlns:ns3="5e207819-3fdd-4ee3-a2f3-ad4d7cb83613" targetNamespace="http://schemas.microsoft.com/office/2006/metadata/properties" ma:root="true" ma:fieldsID="e0ec8269fc4aae4cabeff524c01b3ae4" ns2:_="" ns3:_="">
    <xsd:import namespace="1c4d59ec-3ca7-45ae-8048-ac80299584db"/>
    <xsd:import namespace="5e207819-3fdd-4ee3-a2f3-ad4d7cb836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Henr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d59ec-3ca7-45ae-8048-ac8029958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174cf4-8bc1-4249-b783-7da8288d63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Henrik" ma:index="23" nillable="true" ma:displayName="Henrik" ma:format="Dropdown" ma:list="UserInfo" ma:SharePointGroup="0" ma:internalName="Henr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207819-3fdd-4ee3-a2f3-ad4d7cb83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50a7f2-253e-4017-9dce-cdccf0295658}" ma:internalName="TaxCatchAll" ma:showField="CatchAllData" ma:web="5e207819-3fdd-4ee3-a2f3-ad4d7cb8361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8ACE-AB40-4378-ADFA-68C8E6BD2F9F}">
  <ds:schemaRefs>
    <ds:schemaRef ds:uri="http://schemas.microsoft.com/sharepoint/v3/contenttype/forms"/>
  </ds:schemaRefs>
</ds:datastoreItem>
</file>

<file path=customXml/itemProps2.xml><?xml version="1.0" encoding="utf-8"?>
<ds:datastoreItem xmlns:ds="http://schemas.openxmlformats.org/officeDocument/2006/customXml" ds:itemID="{A14B08D7-EB1E-4B6A-A5A8-7253D34A0463}">
  <ds:schemaRef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5e207819-3fdd-4ee3-a2f3-ad4d7cb83613"/>
    <ds:schemaRef ds:uri="1c4d59ec-3ca7-45ae-8048-ac80299584db"/>
    <ds:schemaRef ds:uri="http://purl.org/dc/dcmitype/"/>
  </ds:schemaRefs>
</ds:datastoreItem>
</file>

<file path=customXml/itemProps3.xml><?xml version="1.0" encoding="utf-8"?>
<ds:datastoreItem xmlns:ds="http://schemas.openxmlformats.org/officeDocument/2006/customXml" ds:itemID="{D9E60DD4-B0D5-42F7-9E24-B4052FDD0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d59ec-3ca7-45ae-8048-ac80299584db"/>
    <ds:schemaRef ds:uri="5e207819-3fdd-4ee3-a2f3-ad4d7cb83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7714</Words>
  <Characters>40426</Characters>
  <Application>Microsoft Office Word</Application>
  <DocSecurity>0</DocSecurity>
  <Lines>553</Lines>
  <Paragraphs>246</Paragraphs>
  <ScaleCrop>false</ScaleCrop>
  <Manager/>
  <Company/>
  <LinksUpToDate>false</LinksUpToDate>
  <CharactersWithSpaces>47894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Sands</dc:creator>
  <cp:keywords/>
  <dc:description/>
  <cp:lastModifiedBy>Ken Sands</cp:lastModifiedBy>
  <cp:revision>2</cp:revision>
  <dcterms:created xsi:type="dcterms:W3CDTF">2025-07-05T01:44:00Z</dcterms:created>
  <dcterms:modified xsi:type="dcterms:W3CDTF">2025-07-05T01:44:00Z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0x0101000C90DCD48A7FCC408DC1127391EAAA44</vt:lpwstr>
  </property>
</Properties>
</file>