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9F03" w14:textId="294AC9E6" w:rsidR="00641DC0" w:rsidRPr="002B7C83" w:rsidRDefault="00D36FC3" w:rsidP="00D36FC3">
      <w:pPr>
        <w:pStyle w:val="Title"/>
        <w:rPr>
          <w:rFonts w:ascii="Segoe UI" w:hAnsi="Segoe UI" w:cs="Segoe UI"/>
          <w:b w:val="0"/>
          <w:sz w:val="28"/>
          <w:szCs w:val="20"/>
        </w:rPr>
      </w:pPr>
      <w:r w:rsidRPr="002B7C83">
        <w:rPr>
          <w:rFonts w:ascii="Segoe UI" w:hAnsi="Segoe UI" w:cs="Segoe UI"/>
          <w:b w:val="0"/>
          <w:sz w:val="28"/>
          <w:szCs w:val="20"/>
        </w:rPr>
        <w:t>Southwest Power Pool</w:t>
      </w:r>
      <w:r w:rsidR="00340AFD" w:rsidRPr="002B7C83">
        <w:rPr>
          <w:rFonts w:ascii="Segoe UI" w:hAnsi="Segoe UI" w:cs="Segoe UI"/>
          <w:sz w:val="26"/>
          <w:szCs w:val="26"/>
        </w:rPr>
        <w:br/>
      </w:r>
      <w:r w:rsidR="0051178D" w:rsidRPr="002B7C83">
        <w:rPr>
          <w:rFonts w:ascii="Segoe UI" w:hAnsi="Segoe UI" w:cs="Segoe UI"/>
          <w:sz w:val="26"/>
          <w:szCs w:val="26"/>
        </w:rPr>
        <w:t xml:space="preserve">executive summary for </w:t>
      </w:r>
      <w:r w:rsidR="00863089" w:rsidRPr="002B7C83">
        <w:rPr>
          <w:rFonts w:ascii="Segoe UI" w:hAnsi="Segoe UI" w:cs="Segoe UI"/>
          <w:sz w:val="26"/>
          <w:szCs w:val="26"/>
        </w:rPr>
        <w:t>MOPC</w:t>
      </w:r>
    </w:p>
    <w:p w14:paraId="2F5FB8B8" w14:textId="3A3A29DA" w:rsidR="00726522" w:rsidRPr="002B7C83" w:rsidRDefault="00726522" w:rsidP="00A4350F">
      <w:pPr>
        <w:rPr>
          <w:rFonts w:cs="Segoe UI"/>
        </w:rPr>
      </w:pPr>
    </w:p>
    <w:p w14:paraId="33F37FB6" w14:textId="741679B9" w:rsidR="000D320D" w:rsidRPr="002B7C83" w:rsidRDefault="00B417FA" w:rsidP="000A65C3">
      <w:pPr>
        <w:ind w:left="-450"/>
        <w:jc w:val="center"/>
        <w:rPr>
          <w:rFonts w:cs="Segoe UI"/>
          <w:b/>
          <w:sz w:val="20"/>
          <w:szCs w:val="20"/>
        </w:rPr>
      </w:pPr>
      <w:r>
        <w:rPr>
          <w:rFonts w:eastAsia="Times New Roman" w:cs="Segoe UI"/>
          <w:b/>
          <w:bCs/>
          <w:color w:val="2A363B"/>
          <w:sz w:val="24"/>
          <w:szCs w:val="20"/>
        </w:rPr>
        <w:t xml:space="preserve">IN-SERVICE DATE DELAY REPORT </w:t>
      </w:r>
    </w:p>
    <w:p w14:paraId="233E5294" w14:textId="1B9D84EF" w:rsidR="000D320D" w:rsidRPr="002B7C83" w:rsidRDefault="007F5019" w:rsidP="0063306B">
      <w:pPr>
        <w:ind w:left="-450"/>
        <w:rPr>
          <w:rFonts w:cs="Segoe UI"/>
        </w:rPr>
      </w:pPr>
      <w:r>
        <w:rPr>
          <w:rFonts w:cs="Segoe UI"/>
        </w:rPr>
        <w:fldChar w:fldCharType="begin">
          <w:ffData>
            <w:name w:val=""/>
            <w:enabled/>
            <w:calcOnExit w:val="0"/>
            <w:checkBox>
              <w:sizeAuto/>
              <w:default w:val="0"/>
            </w:checkBox>
          </w:ffData>
        </w:fldChar>
      </w:r>
      <w:r>
        <w:rPr>
          <w:rFonts w:cs="Segoe UI"/>
        </w:rPr>
        <w:instrText xml:space="preserve"> FORMCHECKBOX </w:instrText>
      </w:r>
      <w:r>
        <w:rPr>
          <w:rFonts w:cs="Segoe UI"/>
        </w:rPr>
      </w:r>
      <w:r>
        <w:rPr>
          <w:rFonts w:cs="Segoe UI"/>
        </w:rPr>
        <w:fldChar w:fldCharType="separate"/>
      </w:r>
      <w:r>
        <w:rPr>
          <w:rFonts w:cs="Segoe UI"/>
        </w:rPr>
        <w:fldChar w:fldCharType="end"/>
      </w:r>
      <w:r w:rsidR="0063306B" w:rsidRPr="002B7C83">
        <w:rPr>
          <w:rFonts w:cs="Segoe UI"/>
        </w:rPr>
        <w:t xml:space="preserve"> For </w:t>
      </w:r>
      <w:r w:rsidR="00863089" w:rsidRPr="002B7C83">
        <w:rPr>
          <w:rFonts w:cs="Segoe UI"/>
        </w:rPr>
        <w:t>MOPC</w:t>
      </w:r>
      <w:r w:rsidR="0063306B" w:rsidRPr="002B7C83">
        <w:rPr>
          <w:rFonts w:cs="Segoe UI"/>
        </w:rPr>
        <w:t xml:space="preserve"> consent agenda</w:t>
      </w:r>
    </w:p>
    <w:p w14:paraId="382B97DB" w14:textId="00279D4E" w:rsidR="00B22A47" w:rsidRPr="002B7C83" w:rsidRDefault="007F5019" w:rsidP="0063306B">
      <w:pPr>
        <w:ind w:left="-450"/>
        <w:rPr>
          <w:rFonts w:cs="Segoe UI"/>
        </w:rPr>
      </w:pPr>
      <w:r>
        <w:rPr>
          <w:rFonts w:cs="Segoe UI"/>
        </w:rPr>
        <w:fldChar w:fldCharType="begin">
          <w:ffData>
            <w:name w:val=""/>
            <w:enabled/>
            <w:calcOnExit w:val="0"/>
            <w:checkBox>
              <w:sizeAuto/>
              <w:default w:val="1"/>
            </w:checkBox>
          </w:ffData>
        </w:fldChar>
      </w:r>
      <w:r>
        <w:rPr>
          <w:rFonts w:cs="Segoe UI"/>
        </w:rPr>
        <w:instrText xml:space="preserve"> FORMCHECKBOX </w:instrText>
      </w:r>
      <w:r>
        <w:rPr>
          <w:rFonts w:cs="Segoe UI"/>
        </w:rPr>
      </w:r>
      <w:r>
        <w:rPr>
          <w:rFonts w:cs="Segoe UI"/>
        </w:rPr>
        <w:fldChar w:fldCharType="separate"/>
      </w:r>
      <w:r>
        <w:rPr>
          <w:rFonts w:cs="Segoe UI"/>
        </w:rPr>
        <w:fldChar w:fldCharType="end"/>
      </w:r>
      <w:r w:rsidR="00B22A47" w:rsidRPr="002B7C83">
        <w:rPr>
          <w:rFonts w:cs="Segoe UI"/>
        </w:rPr>
        <w:t xml:space="preserve"> For </w:t>
      </w:r>
      <w:r w:rsidR="00863089" w:rsidRPr="002B7C83">
        <w:rPr>
          <w:rFonts w:cs="Segoe UI"/>
        </w:rPr>
        <w:t>MOPC</w:t>
      </w:r>
      <w:r w:rsidR="00B22A47" w:rsidRPr="002B7C83">
        <w:rPr>
          <w:rFonts w:cs="Segoe UI"/>
        </w:rPr>
        <w:t xml:space="preserve"> discussion and vote</w:t>
      </w:r>
    </w:p>
    <w:p w14:paraId="183753C7" w14:textId="6CF85A8D" w:rsidR="008C3753" w:rsidRPr="002B7C83" w:rsidRDefault="00D36FC3" w:rsidP="008C3753">
      <w:pPr>
        <w:ind w:left="-450"/>
        <w:rPr>
          <w:rFonts w:cs="Segoe UI"/>
        </w:rPr>
      </w:pPr>
      <w:r w:rsidRPr="002B7C83">
        <w:rPr>
          <w:rFonts w:cs="Segoe UI"/>
        </w:rPr>
        <w:fldChar w:fldCharType="begin">
          <w:ffData>
            <w:name w:val=""/>
            <w:enabled/>
            <w:calcOnExit w:val="0"/>
            <w:checkBox>
              <w:sizeAuto/>
              <w:default w:val="0"/>
            </w:checkBox>
          </w:ffData>
        </w:fldChar>
      </w:r>
      <w:r w:rsidRPr="002B7C83">
        <w:rPr>
          <w:rFonts w:cs="Segoe UI"/>
        </w:rPr>
        <w:instrText xml:space="preserve"> FORMCHECKBOX </w:instrText>
      </w:r>
      <w:r w:rsidRPr="002B7C83">
        <w:rPr>
          <w:rFonts w:cs="Segoe UI"/>
        </w:rPr>
      </w:r>
      <w:r w:rsidRPr="002B7C83">
        <w:rPr>
          <w:rFonts w:cs="Segoe UI"/>
        </w:rPr>
        <w:fldChar w:fldCharType="separate"/>
      </w:r>
      <w:r w:rsidRPr="002B7C83">
        <w:rPr>
          <w:rFonts w:cs="Segoe UI"/>
        </w:rPr>
        <w:fldChar w:fldCharType="end"/>
      </w:r>
      <w:r w:rsidR="008C3753" w:rsidRPr="002B7C83">
        <w:rPr>
          <w:rFonts w:cs="Segoe UI"/>
        </w:rPr>
        <w:t xml:space="preserve"> Additional material is included in the </w:t>
      </w:r>
      <w:r w:rsidR="00863089" w:rsidRPr="002B7C83">
        <w:rPr>
          <w:rFonts w:cs="Segoe UI"/>
        </w:rPr>
        <w:t>packet</w:t>
      </w:r>
    </w:p>
    <w:p w14:paraId="7BBD1FDE" w14:textId="24AA7888" w:rsidR="002B0E77" w:rsidRPr="002B7C83" w:rsidRDefault="002B0E77" w:rsidP="0063306B">
      <w:pPr>
        <w:ind w:left="-450"/>
        <w:rPr>
          <w:rFonts w:cs="Segoe UI"/>
          <w:b/>
          <w:color w:val="2399BB" w:themeColor="accent2"/>
        </w:rPr>
      </w:pPr>
      <w:r w:rsidRPr="002B7C83">
        <w:rPr>
          <w:rFonts w:cs="Segoe UI"/>
          <w:b/>
          <w:color w:val="2399BB" w:themeColor="accent2"/>
        </w:rPr>
        <w:t>Essential points &amp; primary issues for the board’s consideration:</w:t>
      </w:r>
    </w:p>
    <w:p w14:paraId="41697960" w14:textId="4A73342E" w:rsidR="00D36FC3" w:rsidRPr="002B7C83" w:rsidRDefault="004B0DA7" w:rsidP="00D36FC3">
      <w:pPr>
        <w:pStyle w:val="ListParagraph"/>
        <w:numPr>
          <w:ilvl w:val="0"/>
          <w:numId w:val="13"/>
        </w:numPr>
        <w:jc w:val="both"/>
        <w:rPr>
          <w:rFonts w:cs="Segoe UI"/>
        </w:rPr>
      </w:pPr>
      <w:r>
        <w:rPr>
          <w:rFonts w:cs="Segoe UI"/>
        </w:rPr>
        <w:t>As r</w:t>
      </w:r>
      <w:r w:rsidR="002E790C" w:rsidRPr="002B7C83">
        <w:rPr>
          <w:rFonts w:cs="Segoe UI"/>
        </w:rPr>
        <w:t xml:space="preserve">equired by </w:t>
      </w:r>
      <w:r w:rsidR="00D31DB1" w:rsidRPr="002B7C83">
        <w:rPr>
          <w:rFonts w:cs="Segoe UI"/>
        </w:rPr>
        <w:t xml:space="preserve">Section 14 of Business Practice </w:t>
      </w:r>
      <w:r w:rsidR="00D31DB1" w:rsidRPr="0087405B">
        <w:rPr>
          <w:rFonts w:cs="Segoe UI"/>
        </w:rPr>
        <w:t>7060</w:t>
      </w:r>
      <w:r w:rsidR="0087405B" w:rsidRPr="0087405B">
        <w:rPr>
          <w:rFonts w:cs="Segoe UI"/>
        </w:rPr>
        <w:t xml:space="preserve">, </w:t>
      </w:r>
      <w:r>
        <w:rPr>
          <w:rFonts w:cs="Segoe UI"/>
        </w:rPr>
        <w:t>t</w:t>
      </w:r>
      <w:r w:rsidR="0087405B" w:rsidRPr="0087405B">
        <w:rPr>
          <w:rFonts w:cs="Segoe UI"/>
        </w:rPr>
        <w:t>he PCWG provide</w:t>
      </w:r>
      <w:r>
        <w:rPr>
          <w:rFonts w:cs="Segoe UI"/>
        </w:rPr>
        <w:t xml:space="preserve">s </w:t>
      </w:r>
      <w:r w:rsidR="0087405B" w:rsidRPr="0087405B">
        <w:rPr>
          <w:rFonts w:cs="Segoe UI"/>
        </w:rPr>
        <w:t>recommendations to the MOPC and Board regarding any Project whose estimated In-Service Date</w:t>
      </w:r>
      <w:r w:rsidR="0087405B">
        <w:rPr>
          <w:rFonts w:cs="Segoe UI"/>
        </w:rPr>
        <w:t xml:space="preserve"> (ISD)</w:t>
      </w:r>
      <w:r w:rsidR="0087405B" w:rsidRPr="0087405B">
        <w:rPr>
          <w:rFonts w:cs="Segoe UI"/>
        </w:rPr>
        <w:t xml:space="preserve"> exceeds the First Reported In-Service Date</w:t>
      </w:r>
      <w:r w:rsidR="0087405B">
        <w:rPr>
          <w:rFonts w:cs="Segoe UI"/>
        </w:rPr>
        <w:t xml:space="preserve"> (FR-ISD)</w:t>
      </w:r>
      <w:r w:rsidR="0087405B" w:rsidRPr="002B7C83">
        <w:rPr>
          <w:rFonts w:cs="Segoe UI"/>
        </w:rPr>
        <w:t>​</w:t>
      </w:r>
      <w:r w:rsidR="0087405B" w:rsidRPr="0087405B">
        <w:rPr>
          <w:rFonts w:cs="Segoe UI"/>
        </w:rPr>
        <w:t xml:space="preserve"> by more than 90 calendar days.</w:t>
      </w:r>
    </w:p>
    <w:p w14:paraId="61907A71" w14:textId="0B32D55E" w:rsidR="00D31DB1" w:rsidRPr="002B7C83" w:rsidRDefault="00D31DB1" w:rsidP="00D31DB1">
      <w:pPr>
        <w:pStyle w:val="ListParagraph"/>
        <w:numPr>
          <w:ilvl w:val="0"/>
          <w:numId w:val="13"/>
        </w:numPr>
        <w:jc w:val="both"/>
        <w:rPr>
          <w:rFonts w:cs="Segoe UI"/>
        </w:rPr>
      </w:pPr>
      <w:r w:rsidRPr="002B7C83">
        <w:rPr>
          <w:rFonts w:cs="Segoe UI"/>
        </w:rPr>
        <w:t xml:space="preserve">PCWG reviewed a total of </w:t>
      </w:r>
      <w:r w:rsidR="004B0DA7">
        <w:rPr>
          <w:rFonts w:cs="Segoe UI"/>
        </w:rPr>
        <w:t>six</w:t>
      </w:r>
      <w:r w:rsidRPr="002B7C83">
        <w:rPr>
          <w:rFonts w:cs="Segoe UI"/>
        </w:rPr>
        <w:t xml:space="preserve"> upgrades </w:t>
      </w:r>
      <w:r w:rsidR="00D62000">
        <w:rPr>
          <w:rFonts w:cs="Segoe UI"/>
        </w:rPr>
        <w:t xml:space="preserve">this quarter </w:t>
      </w:r>
      <w:r w:rsidRPr="002B7C83">
        <w:rPr>
          <w:rFonts w:cs="Segoe UI"/>
        </w:rPr>
        <w:t xml:space="preserve">with an </w:t>
      </w:r>
      <w:r w:rsidR="0087405B">
        <w:rPr>
          <w:rFonts w:cs="Segoe UI"/>
        </w:rPr>
        <w:t>e</w:t>
      </w:r>
      <w:r w:rsidRPr="002B7C83">
        <w:rPr>
          <w:rFonts w:cs="Segoe UI"/>
        </w:rPr>
        <w:t xml:space="preserve">stimated </w:t>
      </w:r>
      <w:r w:rsidR="0087405B">
        <w:rPr>
          <w:rFonts w:cs="Segoe UI"/>
        </w:rPr>
        <w:t>ISD</w:t>
      </w:r>
      <w:r w:rsidR="0087405B" w:rsidRPr="002B7C83">
        <w:rPr>
          <w:rFonts w:cs="Segoe UI"/>
        </w:rPr>
        <w:t xml:space="preserve"> </w:t>
      </w:r>
      <w:r w:rsidRPr="002B7C83">
        <w:rPr>
          <w:rFonts w:cs="Segoe UI"/>
        </w:rPr>
        <w:t xml:space="preserve">past their </w:t>
      </w:r>
      <w:r w:rsidR="0087405B">
        <w:rPr>
          <w:rFonts w:cs="Segoe UI"/>
        </w:rPr>
        <w:t>FR-ISD</w:t>
      </w:r>
      <w:r w:rsidR="00CB1502">
        <w:rPr>
          <w:rFonts w:cs="Segoe UI"/>
        </w:rPr>
        <w:t xml:space="preserve"> or previously approved ISD by </w:t>
      </w:r>
      <w:r w:rsidR="002A1C83">
        <w:rPr>
          <w:rFonts w:cs="Segoe UI"/>
        </w:rPr>
        <w:t xml:space="preserve">the </w:t>
      </w:r>
      <w:r w:rsidR="00CB1502">
        <w:rPr>
          <w:rFonts w:cs="Segoe UI"/>
        </w:rPr>
        <w:t>SPP Board</w:t>
      </w:r>
      <w:r w:rsidR="00D66CE6" w:rsidRPr="002B7C83">
        <w:rPr>
          <w:rFonts w:cs="Segoe UI"/>
        </w:rPr>
        <w:t>.</w:t>
      </w:r>
    </w:p>
    <w:p w14:paraId="6FDF13C1" w14:textId="6EDB0FC0" w:rsidR="000A65C3" w:rsidRPr="002B7C83" w:rsidRDefault="00A51748" w:rsidP="002E790C">
      <w:pPr>
        <w:pStyle w:val="ListParagraph"/>
        <w:numPr>
          <w:ilvl w:val="0"/>
          <w:numId w:val="13"/>
        </w:numPr>
        <w:jc w:val="both"/>
        <w:rPr>
          <w:rFonts w:cs="Segoe UI"/>
        </w:rPr>
      </w:pPr>
      <w:r w:rsidRPr="002B7C83">
        <w:rPr>
          <w:rFonts w:cs="Segoe UI"/>
        </w:rPr>
        <w:t xml:space="preserve">PCWG recommends that MOPC accept the current </w:t>
      </w:r>
      <w:r w:rsidR="0087405B">
        <w:rPr>
          <w:rFonts w:cs="Segoe UI"/>
        </w:rPr>
        <w:t>e</w:t>
      </w:r>
      <w:r w:rsidRPr="002B7C83">
        <w:rPr>
          <w:rFonts w:cs="Segoe UI"/>
        </w:rPr>
        <w:t xml:space="preserve">stimated </w:t>
      </w:r>
      <w:r w:rsidR="0087405B">
        <w:rPr>
          <w:rFonts w:cs="Segoe UI"/>
        </w:rPr>
        <w:t>ISD</w:t>
      </w:r>
      <w:r w:rsidR="0087405B" w:rsidRPr="002B7C83">
        <w:rPr>
          <w:rFonts w:cs="Segoe UI"/>
        </w:rPr>
        <w:t xml:space="preserve"> </w:t>
      </w:r>
      <w:r w:rsidRPr="002B7C83">
        <w:rPr>
          <w:rFonts w:cs="Segoe UI"/>
        </w:rPr>
        <w:t xml:space="preserve">as reasonable and acceptable to be used to evaluate future </w:t>
      </w:r>
      <w:r w:rsidR="0087405B">
        <w:rPr>
          <w:rFonts w:cs="Segoe UI"/>
        </w:rPr>
        <w:t>ISD</w:t>
      </w:r>
      <w:r w:rsidR="0087405B" w:rsidRPr="002B7C83">
        <w:rPr>
          <w:rFonts w:cs="Segoe UI"/>
        </w:rPr>
        <w:t xml:space="preserve"> </w:t>
      </w:r>
      <w:r w:rsidRPr="002B7C83">
        <w:rPr>
          <w:rFonts w:cs="Segoe UI"/>
        </w:rPr>
        <w:t>deviations.</w:t>
      </w:r>
    </w:p>
    <w:p w14:paraId="357B1E2D" w14:textId="77777777" w:rsidR="000D1D94" w:rsidRDefault="0063306B" w:rsidP="006F5336">
      <w:pPr>
        <w:ind w:left="-450"/>
        <w:rPr>
          <w:rFonts w:cs="Segoe UI"/>
        </w:rPr>
      </w:pPr>
      <w:r w:rsidRPr="002B7C83">
        <w:rPr>
          <w:rFonts w:cs="Segoe UI"/>
          <w:b/>
        </w:rPr>
        <w:t xml:space="preserve">Background &amp; </w:t>
      </w:r>
      <w:r w:rsidR="002B0E77" w:rsidRPr="002B7C83">
        <w:rPr>
          <w:rFonts w:cs="Segoe UI"/>
          <w:b/>
        </w:rPr>
        <w:t>d</w:t>
      </w:r>
      <w:r w:rsidRPr="002B7C83">
        <w:rPr>
          <w:rFonts w:cs="Segoe UI"/>
          <w:b/>
        </w:rPr>
        <w:t>rivers</w:t>
      </w:r>
      <w:r w:rsidRPr="002B7C83">
        <w:rPr>
          <w:rFonts w:cs="Segoe UI"/>
        </w:rPr>
        <w:t xml:space="preserve">: </w:t>
      </w:r>
    </w:p>
    <w:p w14:paraId="185A9D01" w14:textId="1F626D3E" w:rsidR="006F5336" w:rsidRPr="002B7C83" w:rsidRDefault="006F5336" w:rsidP="006F5336">
      <w:pPr>
        <w:ind w:left="-450"/>
        <w:rPr>
          <w:rFonts w:cs="Segoe UI"/>
        </w:rPr>
      </w:pPr>
      <w:r w:rsidRPr="002B7C83">
        <w:rPr>
          <w:rFonts w:cs="Segoe UI"/>
        </w:rPr>
        <w:t>Pursuant to Business Practice 7060 Section</w:t>
      </w:r>
      <w:r w:rsidR="004B0DA7">
        <w:rPr>
          <w:rFonts w:cs="Segoe UI"/>
        </w:rPr>
        <w:t>s</w:t>
      </w:r>
      <w:r w:rsidRPr="002B7C83">
        <w:rPr>
          <w:rFonts w:cs="Segoe UI"/>
        </w:rPr>
        <w:t xml:space="preserve"> 13 &amp;</w:t>
      </w:r>
      <w:r w:rsidR="004B0DA7">
        <w:rPr>
          <w:rFonts w:cs="Segoe UI"/>
        </w:rPr>
        <w:t xml:space="preserve"> </w:t>
      </w:r>
      <w:r w:rsidRPr="002B7C83">
        <w:rPr>
          <w:rFonts w:cs="Segoe UI"/>
        </w:rPr>
        <w:t>14, the PCWG review</w:t>
      </w:r>
      <w:r w:rsidR="004B0DA7">
        <w:rPr>
          <w:rFonts w:cs="Segoe UI"/>
        </w:rPr>
        <w:t>s</w:t>
      </w:r>
      <w:r w:rsidRPr="002B7C83">
        <w:rPr>
          <w:rFonts w:cs="Segoe UI"/>
        </w:rPr>
        <w:t xml:space="preserve"> </w:t>
      </w:r>
      <w:r w:rsidR="0087405B">
        <w:rPr>
          <w:rFonts w:cs="Segoe UI"/>
        </w:rPr>
        <w:t>ISD</w:t>
      </w:r>
      <w:r w:rsidR="004B0DA7">
        <w:rPr>
          <w:rFonts w:cs="Segoe UI"/>
        </w:rPr>
        <w:t>s</w:t>
      </w:r>
      <w:r w:rsidR="0087405B" w:rsidRPr="002B7C83">
        <w:rPr>
          <w:rFonts w:cs="Segoe UI"/>
        </w:rPr>
        <w:t xml:space="preserve"> </w:t>
      </w:r>
      <w:r w:rsidRPr="002B7C83">
        <w:rPr>
          <w:rFonts w:cs="Segoe UI"/>
        </w:rPr>
        <w:t>that exceed the FR</w:t>
      </w:r>
      <w:r w:rsidR="0087405B">
        <w:rPr>
          <w:rFonts w:cs="Segoe UI"/>
        </w:rPr>
        <w:t>-ISD</w:t>
      </w:r>
      <w:r w:rsidR="0087405B" w:rsidRPr="002B7C83">
        <w:rPr>
          <w:rFonts w:cs="Segoe UI"/>
        </w:rPr>
        <w:t xml:space="preserve"> </w:t>
      </w:r>
      <w:r w:rsidRPr="002B7C83">
        <w:rPr>
          <w:rFonts w:cs="Segoe UI"/>
        </w:rPr>
        <w:t>by more than 90 days and provide</w:t>
      </w:r>
      <w:r w:rsidR="004B0DA7">
        <w:rPr>
          <w:rFonts w:cs="Segoe UI"/>
        </w:rPr>
        <w:t xml:space="preserve">s </w:t>
      </w:r>
      <w:r w:rsidRPr="002B7C83">
        <w:rPr>
          <w:rFonts w:cs="Segoe UI"/>
        </w:rPr>
        <w:t>recommendations to the MOPC and Board. The Board make</w:t>
      </w:r>
      <w:r w:rsidR="004B0DA7">
        <w:rPr>
          <w:rFonts w:cs="Segoe UI"/>
        </w:rPr>
        <w:t>s</w:t>
      </w:r>
      <w:r w:rsidRPr="002B7C83">
        <w:rPr>
          <w:rFonts w:cs="Segoe UI"/>
        </w:rPr>
        <w:t xml:space="preserve"> the final determination on whether to accept the PCWG recommendation(s) or to choose an alternative action. If the Board determines to reestablish the baseline </w:t>
      </w:r>
      <w:r w:rsidR="0087405B">
        <w:rPr>
          <w:rFonts w:cs="Segoe UI"/>
        </w:rPr>
        <w:t>ISD</w:t>
      </w:r>
      <w:r w:rsidRPr="002B7C83">
        <w:rPr>
          <w:rFonts w:cs="Segoe UI"/>
        </w:rPr>
        <w:t>, the previous FR</w:t>
      </w:r>
      <w:r w:rsidR="0087405B">
        <w:rPr>
          <w:rFonts w:cs="Segoe UI"/>
        </w:rPr>
        <w:t>-ISD</w:t>
      </w:r>
      <w:r w:rsidR="0087405B" w:rsidRPr="002B7C83">
        <w:rPr>
          <w:rFonts w:cs="Segoe UI"/>
        </w:rPr>
        <w:t xml:space="preserve"> </w:t>
      </w:r>
      <w:r w:rsidR="004B0DA7">
        <w:rPr>
          <w:rFonts w:cs="Segoe UI"/>
        </w:rPr>
        <w:t>is</w:t>
      </w:r>
      <w:r w:rsidRPr="002B7C83">
        <w:rPr>
          <w:rFonts w:cs="Segoe UI"/>
        </w:rPr>
        <w:t xml:space="preserve"> retained in the monitoring tool. The newly established </w:t>
      </w:r>
      <w:r w:rsidR="0087405B">
        <w:rPr>
          <w:rFonts w:cs="Segoe UI"/>
        </w:rPr>
        <w:t>ISD</w:t>
      </w:r>
      <w:r w:rsidR="0087405B" w:rsidRPr="002B7C83">
        <w:rPr>
          <w:rFonts w:cs="Segoe UI"/>
        </w:rPr>
        <w:t xml:space="preserve"> </w:t>
      </w:r>
      <w:r w:rsidRPr="002B7C83">
        <w:rPr>
          <w:rFonts w:cs="Segoe UI"/>
        </w:rPr>
        <w:t xml:space="preserve">date approved by the Board </w:t>
      </w:r>
      <w:r w:rsidR="004B0DA7">
        <w:rPr>
          <w:rFonts w:cs="Segoe UI"/>
        </w:rPr>
        <w:t>is</w:t>
      </w:r>
      <w:r w:rsidRPr="002B7C83">
        <w:rPr>
          <w:rFonts w:cs="Segoe UI"/>
        </w:rPr>
        <w:t xml:space="preserve"> used for future reports.</w:t>
      </w:r>
    </w:p>
    <w:p w14:paraId="6745DBA5" w14:textId="65A432E3" w:rsidR="006F5336" w:rsidRDefault="006F5336" w:rsidP="006F5336">
      <w:pPr>
        <w:ind w:left="-450"/>
        <w:rPr>
          <w:rFonts w:cs="Segoe UI"/>
        </w:rPr>
      </w:pPr>
      <w:r w:rsidRPr="002B7C83">
        <w:rPr>
          <w:rFonts w:cs="Segoe UI"/>
        </w:rPr>
        <w:t>Business Practice 7060, Section 9, defines the FR</w:t>
      </w:r>
      <w:r w:rsidR="0087405B">
        <w:rPr>
          <w:rFonts w:cs="Segoe UI"/>
        </w:rPr>
        <w:t>-ISD</w:t>
      </w:r>
      <w:r w:rsidRPr="002B7C83">
        <w:rPr>
          <w:rFonts w:cs="Segoe UI"/>
        </w:rPr>
        <w:t xml:space="preserve"> as the </w:t>
      </w:r>
      <w:r w:rsidR="0087405B">
        <w:rPr>
          <w:rFonts w:cs="Segoe UI"/>
        </w:rPr>
        <w:t>ISD</w:t>
      </w:r>
      <w:r w:rsidR="0087405B" w:rsidRPr="002B7C83">
        <w:rPr>
          <w:rFonts w:cs="Segoe UI"/>
        </w:rPr>
        <w:t xml:space="preserve"> </w:t>
      </w:r>
      <w:r w:rsidRPr="002B7C83">
        <w:rPr>
          <w:rFonts w:cs="Segoe UI"/>
        </w:rPr>
        <w:t xml:space="preserve">provided in the NTC commitment letter </w:t>
      </w:r>
      <w:r w:rsidR="004B0DA7">
        <w:rPr>
          <w:rFonts w:cs="Segoe UI"/>
        </w:rPr>
        <w:t>to</w:t>
      </w:r>
      <w:r w:rsidRPr="002B7C83">
        <w:rPr>
          <w:rFonts w:cs="Segoe UI"/>
        </w:rPr>
        <w:t xml:space="preserve"> be used as the established baseline for reporting all </w:t>
      </w:r>
      <w:r w:rsidR="0087405B">
        <w:rPr>
          <w:rFonts w:cs="Segoe UI"/>
        </w:rPr>
        <w:t>ISD</w:t>
      </w:r>
      <w:r w:rsidR="0087405B" w:rsidRPr="002B7C83">
        <w:rPr>
          <w:rFonts w:cs="Segoe UI"/>
        </w:rPr>
        <w:t xml:space="preserve"> </w:t>
      </w:r>
      <w:r w:rsidRPr="002B7C83">
        <w:rPr>
          <w:rFonts w:cs="Segoe UI"/>
        </w:rPr>
        <w:t xml:space="preserve">changes during the Project Tracking process and </w:t>
      </w:r>
      <w:r w:rsidR="004B0DA7">
        <w:rPr>
          <w:rFonts w:cs="Segoe UI"/>
        </w:rPr>
        <w:t xml:space="preserve">is </w:t>
      </w:r>
      <w:r w:rsidRPr="002B7C83">
        <w:rPr>
          <w:rFonts w:cs="Segoe UI"/>
        </w:rPr>
        <w:t xml:space="preserve">the basis for determining Upgrade </w:t>
      </w:r>
      <w:r w:rsidR="0087405B">
        <w:rPr>
          <w:rFonts w:cs="Segoe UI"/>
        </w:rPr>
        <w:t>ISD</w:t>
      </w:r>
      <w:r w:rsidR="0087405B" w:rsidRPr="002B7C83">
        <w:rPr>
          <w:rFonts w:cs="Segoe UI"/>
        </w:rPr>
        <w:t xml:space="preserve"> </w:t>
      </w:r>
      <w:r w:rsidRPr="002B7C83">
        <w:rPr>
          <w:rFonts w:cs="Segoe UI"/>
        </w:rPr>
        <w:t>variance</w:t>
      </w:r>
      <w:r w:rsidR="004B0DA7">
        <w:rPr>
          <w:rFonts w:cs="Segoe UI"/>
        </w:rPr>
        <w:t>s</w:t>
      </w:r>
      <w:r w:rsidRPr="002B7C83">
        <w:rPr>
          <w:rFonts w:cs="Segoe UI"/>
        </w:rPr>
        <w:t>.</w:t>
      </w:r>
    </w:p>
    <w:p w14:paraId="3534B4E0" w14:textId="1ADC65F8" w:rsidR="00611B94" w:rsidRPr="002B7C83" w:rsidRDefault="00611B94" w:rsidP="00611B94">
      <w:pPr>
        <w:ind w:left="-450"/>
        <w:rPr>
          <w:rFonts w:cs="Segoe UI"/>
        </w:rPr>
      </w:pPr>
      <w:r>
        <w:rPr>
          <w:rFonts w:cs="Segoe UI"/>
        </w:rPr>
        <w:t xml:space="preserve">On </w:t>
      </w:r>
      <w:r w:rsidRPr="002B7C83">
        <w:rPr>
          <w:rFonts w:cs="Segoe UI"/>
        </w:rPr>
        <w:t>April</w:t>
      </w:r>
      <w:r>
        <w:rPr>
          <w:rFonts w:cs="Segoe UI"/>
        </w:rPr>
        <w:t xml:space="preserve"> 15</w:t>
      </w:r>
      <w:r w:rsidR="001B3079">
        <w:rPr>
          <w:rFonts w:cs="Segoe UI"/>
        </w:rPr>
        <w:t>,</w:t>
      </w:r>
      <w:r w:rsidRPr="002B7C83">
        <w:rPr>
          <w:rFonts w:cs="Segoe UI"/>
        </w:rPr>
        <w:t xml:space="preserve"> 2024, MOPC approve</w:t>
      </w:r>
      <w:r w:rsidR="001B3079">
        <w:rPr>
          <w:rFonts w:cs="Segoe UI"/>
        </w:rPr>
        <w:t>d</w:t>
      </w:r>
      <w:r w:rsidRPr="002B7C83">
        <w:rPr>
          <w:rFonts w:cs="Segoe UI"/>
        </w:rPr>
        <w:t xml:space="preserve"> RR574</w:t>
      </w:r>
      <w:r w:rsidR="004B0DA7">
        <w:rPr>
          <w:rFonts w:cs="Segoe UI"/>
        </w:rPr>
        <w:t>,</w:t>
      </w:r>
      <w:r w:rsidRPr="002B7C83">
        <w:rPr>
          <w:rFonts w:cs="Segoe UI"/>
        </w:rPr>
        <w:t xml:space="preserve"> which provided</w:t>
      </w:r>
      <w:r w:rsidRPr="002B7C83">
        <w:rPr>
          <w:rFonts w:eastAsia="Calibri" w:cs="Segoe UI"/>
        </w:rPr>
        <w:t xml:space="preserve"> new reporting requirements for projects that have</w:t>
      </w:r>
      <w:r>
        <w:rPr>
          <w:rFonts w:eastAsia="Calibri" w:cs="Segoe UI"/>
        </w:rPr>
        <w:t xml:space="preserve"> a</w:t>
      </w:r>
      <w:r w:rsidRPr="002B7C83">
        <w:rPr>
          <w:rFonts w:eastAsia="Calibri" w:cs="Segoe UI"/>
        </w:rPr>
        <w:t xml:space="preserve"> delayed</w:t>
      </w:r>
      <w:r>
        <w:rPr>
          <w:rFonts w:eastAsia="Calibri" w:cs="Segoe UI"/>
        </w:rPr>
        <w:t xml:space="preserve"> </w:t>
      </w:r>
      <w:r>
        <w:rPr>
          <w:rFonts w:cs="Segoe UI"/>
        </w:rPr>
        <w:t>ISD</w:t>
      </w:r>
      <w:r w:rsidRPr="002B7C83">
        <w:rPr>
          <w:rFonts w:eastAsia="Calibri" w:cs="Segoe UI"/>
        </w:rPr>
        <w:t xml:space="preserve">, setting criteria guidelines for when </w:t>
      </w:r>
      <w:r w:rsidR="004B0DA7">
        <w:rPr>
          <w:rFonts w:eastAsia="Calibri" w:cs="Segoe UI"/>
        </w:rPr>
        <w:t>d</w:t>
      </w:r>
      <w:r w:rsidRPr="002B7C83">
        <w:rPr>
          <w:rFonts w:eastAsia="Calibri" w:cs="Segoe UI"/>
        </w:rPr>
        <w:t xml:space="preserve">esignated </w:t>
      </w:r>
      <w:r w:rsidR="004B0DA7">
        <w:rPr>
          <w:rFonts w:eastAsia="Calibri" w:cs="Segoe UI"/>
        </w:rPr>
        <w:t>t</w:t>
      </w:r>
      <w:r w:rsidRPr="002B7C83">
        <w:rPr>
          <w:rFonts w:eastAsia="Calibri" w:cs="Segoe UI"/>
        </w:rPr>
        <w:t xml:space="preserve">ransmission </w:t>
      </w:r>
      <w:r w:rsidR="004B0DA7">
        <w:rPr>
          <w:rFonts w:eastAsia="Calibri" w:cs="Segoe UI"/>
        </w:rPr>
        <w:t>o</w:t>
      </w:r>
      <w:r w:rsidRPr="002B7C83">
        <w:rPr>
          <w:rFonts w:eastAsia="Calibri" w:cs="Segoe UI"/>
        </w:rPr>
        <w:t xml:space="preserve">wners (DTO) </w:t>
      </w:r>
      <w:r w:rsidRPr="00721A2B">
        <w:rPr>
          <w:rFonts w:eastAsia="Calibri" w:cs="Segoe UI"/>
        </w:rPr>
        <w:t xml:space="preserve">will communicate with SPP for delayed projects and require additional information related to projects status. RR574 requires </w:t>
      </w:r>
      <w:r w:rsidR="004B0DA7">
        <w:rPr>
          <w:rFonts w:cs="Segoe UI"/>
        </w:rPr>
        <w:t xml:space="preserve">the </w:t>
      </w:r>
      <w:r w:rsidRPr="00721A2B">
        <w:rPr>
          <w:rFonts w:cs="Segoe UI"/>
        </w:rPr>
        <w:t xml:space="preserve">PCWG to review Upgrades when the ISD exceeds the FR-ISD by more than 90 calendar days and </w:t>
      </w:r>
      <w:r w:rsidR="004B0DA7">
        <w:rPr>
          <w:rFonts w:cs="Segoe UI"/>
        </w:rPr>
        <w:t xml:space="preserve">to </w:t>
      </w:r>
      <w:r w:rsidRPr="00721A2B">
        <w:rPr>
          <w:rFonts w:cs="Segoe UI"/>
        </w:rPr>
        <w:t>provide recommendations to the MOPC and Board.</w:t>
      </w:r>
      <w:r w:rsidRPr="002B7C83">
        <w:rPr>
          <w:rFonts w:cs="Segoe UI"/>
        </w:rPr>
        <w:t xml:space="preserve"> </w:t>
      </w:r>
    </w:p>
    <w:p w14:paraId="0848FDFC" w14:textId="360C602C" w:rsidR="00C92F6D" w:rsidRDefault="001B3079" w:rsidP="00C92F6D">
      <w:pPr>
        <w:tabs>
          <w:tab w:val="clear" w:pos="2431"/>
        </w:tabs>
        <w:spacing w:after="160" w:line="259" w:lineRule="auto"/>
        <w:ind w:left="-450"/>
        <w:jc w:val="both"/>
        <w:rPr>
          <w:rFonts w:eastAsia="Calibri" w:cs="Segoe UI"/>
        </w:rPr>
      </w:pPr>
      <w:r w:rsidRPr="00721A2B">
        <w:rPr>
          <w:rFonts w:eastAsia="Calibri" w:cs="Segoe UI"/>
        </w:rPr>
        <w:t xml:space="preserve">During </w:t>
      </w:r>
      <w:r w:rsidR="00611B94" w:rsidRPr="00721A2B">
        <w:rPr>
          <w:rFonts w:eastAsia="Calibri" w:cs="Segoe UI"/>
        </w:rPr>
        <w:t>PCWG</w:t>
      </w:r>
      <w:r w:rsidRPr="00721A2B">
        <w:rPr>
          <w:rFonts w:eastAsia="Calibri" w:cs="Segoe UI"/>
        </w:rPr>
        <w:t>’s review of delayed upgrades</w:t>
      </w:r>
      <w:r w:rsidR="00DA58BB" w:rsidRPr="00721A2B">
        <w:rPr>
          <w:rFonts w:eastAsia="Calibri" w:cs="Segoe UI"/>
        </w:rPr>
        <w:t>,</w:t>
      </w:r>
      <w:r w:rsidRPr="00721A2B">
        <w:rPr>
          <w:rFonts w:eastAsia="Calibri" w:cs="Segoe UI"/>
        </w:rPr>
        <w:t xml:space="preserve"> </w:t>
      </w:r>
      <w:r w:rsidR="004B0DA7">
        <w:rPr>
          <w:rFonts w:eastAsia="Calibri" w:cs="Segoe UI"/>
        </w:rPr>
        <w:t>six</w:t>
      </w:r>
      <w:r w:rsidR="00611B94" w:rsidRPr="00721A2B">
        <w:rPr>
          <w:rFonts w:eastAsia="Calibri" w:cs="Segoe UI"/>
        </w:rPr>
        <w:t xml:space="preserve"> </w:t>
      </w:r>
      <w:r w:rsidRPr="00721A2B">
        <w:rPr>
          <w:rFonts w:eastAsia="Calibri" w:cs="Segoe UI"/>
        </w:rPr>
        <w:t xml:space="preserve">upgrades </w:t>
      </w:r>
      <w:r w:rsidR="00611B94" w:rsidRPr="00721A2B">
        <w:rPr>
          <w:rFonts w:eastAsia="Calibri" w:cs="Segoe UI"/>
        </w:rPr>
        <w:t>were reviewed and found to be reasonable and acceptable with no further action required at this time</w:t>
      </w:r>
      <w:r w:rsidRPr="00721A2B">
        <w:rPr>
          <w:rFonts w:eastAsia="Calibri" w:cs="Segoe UI"/>
        </w:rPr>
        <w:t>.</w:t>
      </w:r>
      <w:r w:rsidR="00721A2B" w:rsidRPr="00721A2B">
        <w:rPr>
          <w:rFonts w:eastAsia="Calibri" w:cs="Segoe UI"/>
        </w:rPr>
        <w:t xml:space="preserve"> Projects reviewed by PCWG are listed in Appendix 1 of this report.</w:t>
      </w:r>
    </w:p>
    <w:p w14:paraId="09CE49BA" w14:textId="77777777" w:rsidR="00C92F6D" w:rsidRPr="00C92F6D" w:rsidRDefault="00C92F6D" w:rsidP="00C92F6D">
      <w:pPr>
        <w:tabs>
          <w:tab w:val="clear" w:pos="2431"/>
        </w:tabs>
        <w:spacing w:after="160" w:line="259" w:lineRule="auto"/>
        <w:ind w:left="-450"/>
        <w:jc w:val="both"/>
        <w:rPr>
          <w:rFonts w:eastAsia="Calibri" w:cs="Segoe UI"/>
        </w:rPr>
      </w:pPr>
    </w:p>
    <w:p w14:paraId="1A9CF077" w14:textId="77777777" w:rsidR="006F5336" w:rsidRPr="002B7C83" w:rsidRDefault="006F5336" w:rsidP="002B7C83">
      <w:pPr>
        <w:spacing w:after="0"/>
        <w:ind w:left="540" w:hanging="540"/>
        <w:rPr>
          <w:rFonts w:cs="Segoe UI"/>
          <w:i/>
          <w:iCs/>
        </w:rPr>
      </w:pPr>
      <w:r w:rsidRPr="002B7C83">
        <w:rPr>
          <w:rFonts w:cs="Segoe UI"/>
          <w:b/>
          <w:bCs/>
          <w:i/>
          <w:iCs/>
        </w:rPr>
        <w:t>Business Practice 7060, Section 14. In-Service Date Delayed Upgrades Reviewed by PCWG</w:t>
      </w:r>
      <w:r w:rsidRPr="002B7C83">
        <w:rPr>
          <w:rFonts w:cs="Segoe UI"/>
          <w:i/>
          <w:iCs/>
        </w:rPr>
        <w:t xml:space="preserve"> </w:t>
      </w:r>
    </w:p>
    <w:p w14:paraId="51AC5458" w14:textId="77777777" w:rsidR="006F5336" w:rsidRPr="002B7C83" w:rsidRDefault="006F5336" w:rsidP="002B7C83">
      <w:pPr>
        <w:spacing w:after="0"/>
        <w:rPr>
          <w:rFonts w:cs="Segoe UI"/>
          <w:i/>
          <w:iCs/>
        </w:rPr>
      </w:pPr>
      <w:r w:rsidRPr="002B7C83">
        <w:rPr>
          <w:rFonts w:cs="Segoe UI"/>
          <w:i/>
          <w:iCs/>
        </w:rPr>
        <w:t>The PCWG will provide recommendations to the MOPC and Board regarding any Project whose estimated In-Service Date exceeds the First Reported In-Service Date by more than 90 calendar days. Recommended action(s) may include, but not limited to, any of the following:</w:t>
      </w:r>
    </w:p>
    <w:p w14:paraId="5B2CA02A" w14:textId="77777777" w:rsidR="006F5336" w:rsidRPr="002B7C83" w:rsidRDefault="006F5336" w:rsidP="002B7C83">
      <w:pPr>
        <w:spacing w:after="0"/>
        <w:ind w:left="540" w:hanging="540"/>
        <w:rPr>
          <w:rFonts w:cs="Segoe UI"/>
          <w:i/>
          <w:iCs/>
        </w:rPr>
      </w:pPr>
    </w:p>
    <w:p w14:paraId="5A09502F" w14:textId="77777777" w:rsidR="006F5336" w:rsidRPr="002B7C83" w:rsidRDefault="006F5336" w:rsidP="002B7C83">
      <w:pPr>
        <w:pStyle w:val="ListParagraph"/>
        <w:numPr>
          <w:ilvl w:val="0"/>
          <w:numId w:val="25"/>
        </w:numPr>
        <w:spacing w:after="0"/>
        <w:ind w:left="1320" w:hanging="540"/>
        <w:rPr>
          <w:rFonts w:cs="Segoe UI"/>
          <w:i/>
          <w:iCs/>
        </w:rPr>
      </w:pPr>
      <w:r w:rsidRPr="002B7C83">
        <w:rPr>
          <w:rFonts w:cs="Segoe UI"/>
          <w:i/>
          <w:iCs/>
        </w:rPr>
        <w:t>Accept the In-Service Date deviation as reasonable and acceptable and reestablish the baseline used to evaluate future In-Service Date deviations.</w:t>
      </w:r>
    </w:p>
    <w:p w14:paraId="32560E9D" w14:textId="77777777" w:rsidR="006F5336" w:rsidRPr="002B7C83" w:rsidRDefault="006F5336" w:rsidP="002B7C83">
      <w:pPr>
        <w:pStyle w:val="ListParagraph"/>
        <w:numPr>
          <w:ilvl w:val="0"/>
          <w:numId w:val="25"/>
        </w:numPr>
        <w:spacing w:after="0"/>
        <w:ind w:left="1320" w:hanging="540"/>
        <w:rPr>
          <w:rFonts w:cs="Segoe UI"/>
          <w:i/>
          <w:iCs/>
        </w:rPr>
      </w:pPr>
      <w:r w:rsidRPr="002B7C83">
        <w:rPr>
          <w:rFonts w:cs="Segoe UI"/>
          <w:i/>
          <w:iCs/>
        </w:rPr>
        <w:t xml:space="preserve"> Identify all or a portion of the construction schedule related to the variances and recommend any changes to the NTC that would reduce or avoid the issues that may be causing the deviation.</w:t>
      </w:r>
    </w:p>
    <w:p w14:paraId="2A7B7A53" w14:textId="77777777" w:rsidR="006F5336" w:rsidRPr="002B7C83" w:rsidRDefault="006F5336" w:rsidP="002B7C83">
      <w:pPr>
        <w:pStyle w:val="ListParagraph"/>
        <w:numPr>
          <w:ilvl w:val="0"/>
          <w:numId w:val="25"/>
        </w:numPr>
        <w:spacing w:after="0"/>
        <w:ind w:left="1320" w:hanging="540"/>
        <w:rPr>
          <w:rFonts w:cs="Segoe UI"/>
          <w:i/>
          <w:iCs/>
        </w:rPr>
      </w:pPr>
      <w:r w:rsidRPr="002B7C83">
        <w:rPr>
          <w:rFonts w:cs="Segoe UI"/>
          <w:i/>
          <w:iCs/>
        </w:rPr>
        <w:t xml:space="preserve"> Issue an NTC Suspension on the project while SPP re-evaluates the project to determine appropriate changes to the Project, possible withdrawal of the Project or whether an alternative project should replace the project. </w:t>
      </w:r>
    </w:p>
    <w:p w14:paraId="5E107B19" w14:textId="77777777" w:rsidR="006F5336" w:rsidRPr="002B7C83" w:rsidRDefault="006F5336" w:rsidP="002B7C83">
      <w:pPr>
        <w:pStyle w:val="ListParagraph"/>
        <w:numPr>
          <w:ilvl w:val="0"/>
          <w:numId w:val="0"/>
        </w:numPr>
        <w:spacing w:after="0"/>
        <w:ind w:left="1320" w:hanging="540"/>
        <w:rPr>
          <w:rFonts w:cs="Segoe UI"/>
          <w:i/>
          <w:iCs/>
        </w:rPr>
      </w:pPr>
    </w:p>
    <w:p w14:paraId="394F49B8" w14:textId="77777777" w:rsidR="006F5336" w:rsidRPr="002B7C83" w:rsidRDefault="006F5336" w:rsidP="002B7C83">
      <w:pPr>
        <w:spacing w:after="0"/>
        <w:rPr>
          <w:rFonts w:cs="Segoe UI"/>
          <w:i/>
          <w:iCs/>
        </w:rPr>
      </w:pPr>
      <w:r w:rsidRPr="002B7C83">
        <w:rPr>
          <w:rFonts w:cs="Segoe UI"/>
          <w:i/>
          <w:iCs/>
        </w:rPr>
        <w:t xml:space="preserve">The Board will make the final determination on whether to accept the PCWG recommendation(s) or to choose an alternative action. </w:t>
      </w:r>
    </w:p>
    <w:p w14:paraId="31CBF74E" w14:textId="77777777" w:rsidR="006F5336" w:rsidRPr="002B7C83" w:rsidRDefault="006F5336" w:rsidP="002B7C83">
      <w:pPr>
        <w:spacing w:after="0"/>
        <w:rPr>
          <w:rFonts w:cs="Segoe UI"/>
          <w:i/>
          <w:iCs/>
        </w:rPr>
      </w:pPr>
    </w:p>
    <w:p w14:paraId="78DB2E8B" w14:textId="77777777" w:rsidR="006F5336" w:rsidRPr="002B7C83" w:rsidRDefault="006F5336" w:rsidP="002B7C83">
      <w:pPr>
        <w:spacing w:after="0"/>
        <w:rPr>
          <w:rFonts w:cs="Segoe UI"/>
          <w:i/>
          <w:iCs/>
        </w:rPr>
      </w:pPr>
      <w:r w:rsidRPr="002B7C83">
        <w:rPr>
          <w:rFonts w:cs="Segoe UI"/>
          <w:i/>
          <w:iCs/>
        </w:rPr>
        <w:t xml:space="preserve">If the Board determines to reestablish the baseline In-Service Date, the previous First Reported In-Service Date will be retained in the monitoring tool. </w:t>
      </w:r>
    </w:p>
    <w:p w14:paraId="0B958814" w14:textId="77777777" w:rsidR="006F5336" w:rsidRPr="002B7C83" w:rsidRDefault="006F5336" w:rsidP="002B7C83">
      <w:pPr>
        <w:pStyle w:val="ListParagraph"/>
        <w:numPr>
          <w:ilvl w:val="0"/>
          <w:numId w:val="0"/>
        </w:numPr>
        <w:spacing w:after="0"/>
        <w:ind w:left="600" w:hanging="540"/>
        <w:rPr>
          <w:rFonts w:cs="Segoe UI"/>
          <w:i/>
          <w:iCs/>
        </w:rPr>
      </w:pPr>
    </w:p>
    <w:p w14:paraId="02922B3B" w14:textId="77777777" w:rsidR="006F5336" w:rsidRPr="002B7C83" w:rsidRDefault="006F5336" w:rsidP="002B7C83">
      <w:pPr>
        <w:pStyle w:val="ListParagraph"/>
        <w:numPr>
          <w:ilvl w:val="0"/>
          <w:numId w:val="0"/>
        </w:numPr>
        <w:spacing w:after="0"/>
        <w:ind w:left="600" w:hanging="540"/>
        <w:rPr>
          <w:rFonts w:cs="Segoe UI"/>
          <w:i/>
          <w:iCs/>
        </w:rPr>
      </w:pPr>
      <w:r w:rsidRPr="002B7C83">
        <w:rPr>
          <w:rFonts w:cs="Segoe UI"/>
          <w:i/>
          <w:iCs/>
        </w:rPr>
        <w:t>The newly established In-Service date approved by the Board will be used for future reports.</w:t>
      </w:r>
    </w:p>
    <w:p w14:paraId="031C3A90" w14:textId="77777777" w:rsidR="00255A12" w:rsidRDefault="00255A12">
      <w:pPr>
        <w:tabs>
          <w:tab w:val="clear" w:pos="2431"/>
        </w:tabs>
        <w:spacing w:after="160" w:line="259" w:lineRule="auto"/>
        <w:rPr>
          <w:rFonts w:cs="Segoe UI"/>
        </w:rPr>
      </w:pPr>
    </w:p>
    <w:p w14:paraId="756303AE" w14:textId="45F6D182" w:rsidR="00D8552F" w:rsidRDefault="00D8552F" w:rsidP="00D8552F">
      <w:pPr>
        <w:ind w:left="-450"/>
        <w:rPr>
          <w:rFonts w:cs="Segoe UI"/>
        </w:rPr>
      </w:pPr>
      <w:r w:rsidRPr="002B7C83">
        <w:rPr>
          <w:rFonts w:cs="Segoe UI"/>
          <w:b/>
        </w:rPr>
        <w:t>Strategic implications</w:t>
      </w:r>
      <w:r w:rsidRPr="002B7C83">
        <w:rPr>
          <w:rFonts w:cs="Segoe UI"/>
        </w:rPr>
        <w:t xml:space="preserve">: </w:t>
      </w:r>
    </w:p>
    <w:p w14:paraId="57DF7F38" w14:textId="78EE2B6F" w:rsidR="00074F87" w:rsidRPr="002B7C83" w:rsidRDefault="00074F87" w:rsidP="00D8552F">
      <w:pPr>
        <w:ind w:left="-450"/>
        <w:rPr>
          <w:rFonts w:cs="Segoe UI"/>
        </w:rPr>
      </w:pPr>
      <w:r w:rsidRPr="00074F87">
        <w:rPr>
          <w:rFonts w:cs="Segoe UI"/>
        </w:rPr>
        <w:t>The ISD review process helps to ensure the accuracy and transparency of SPP’s active portfolio. Additionally, the process provides scrutiny on projects that are delayed and supports those projects being constructed in a timely manner.</w:t>
      </w:r>
    </w:p>
    <w:p w14:paraId="323AA52F" w14:textId="77777777" w:rsidR="00074F87" w:rsidRDefault="00D8552F" w:rsidP="00D8552F">
      <w:pPr>
        <w:ind w:left="-450"/>
        <w:rPr>
          <w:rFonts w:cs="Segoe UI"/>
        </w:rPr>
      </w:pPr>
      <w:r w:rsidRPr="002B7C83">
        <w:rPr>
          <w:rFonts w:cs="Segoe UI"/>
          <w:b/>
        </w:rPr>
        <w:t>Risks:</w:t>
      </w:r>
      <w:r w:rsidRPr="002B7C83">
        <w:rPr>
          <w:rFonts w:cs="Segoe UI"/>
        </w:rPr>
        <w:t xml:space="preserve"> </w:t>
      </w:r>
    </w:p>
    <w:p w14:paraId="09E8DE65" w14:textId="616F807E" w:rsidR="00074F87" w:rsidRDefault="00074F87" w:rsidP="00D8552F">
      <w:pPr>
        <w:ind w:left="-450"/>
        <w:rPr>
          <w:rFonts w:cs="Segoe UI"/>
        </w:rPr>
      </w:pPr>
      <w:r w:rsidRPr="00074F87">
        <w:rPr>
          <w:rFonts w:cs="Segoe UI"/>
        </w:rPr>
        <w:t>Without the ISD review process</w:t>
      </w:r>
      <w:r w:rsidR="004B0DA7">
        <w:rPr>
          <w:rFonts w:cs="Segoe UI"/>
        </w:rPr>
        <w:t xml:space="preserve">, </w:t>
      </w:r>
      <w:r w:rsidRPr="00074F87">
        <w:rPr>
          <w:rFonts w:cs="Segoe UI"/>
        </w:rPr>
        <w:t>there would not be a forum for discussion of delayed projects. If these projects are not approved, the construction schedule for these projects may be impacted.</w:t>
      </w:r>
    </w:p>
    <w:p w14:paraId="434376A4" w14:textId="20E5EE23" w:rsidR="00D8552F" w:rsidRDefault="00D8552F" w:rsidP="00D8552F">
      <w:pPr>
        <w:ind w:left="-450"/>
        <w:rPr>
          <w:rFonts w:cs="Segoe UI"/>
        </w:rPr>
      </w:pPr>
      <w:r w:rsidRPr="002B7C83">
        <w:rPr>
          <w:rFonts w:cs="Segoe UI"/>
          <w:b/>
        </w:rPr>
        <w:t>Costs &amp; Benefits</w:t>
      </w:r>
      <w:r w:rsidRPr="002B7C83">
        <w:rPr>
          <w:rFonts w:cs="Segoe UI"/>
        </w:rPr>
        <w:t xml:space="preserve">: </w:t>
      </w:r>
    </w:p>
    <w:p w14:paraId="42192D98" w14:textId="13D257AC" w:rsidR="00074F87" w:rsidRPr="002B7C83" w:rsidRDefault="00074F87" w:rsidP="00D8552F">
      <w:pPr>
        <w:ind w:left="-450"/>
        <w:rPr>
          <w:rFonts w:cs="Segoe UI"/>
        </w:rPr>
      </w:pPr>
      <w:r w:rsidRPr="00074F87">
        <w:rPr>
          <w:rFonts w:cs="Segoe UI"/>
        </w:rPr>
        <w:t xml:space="preserve">PCWG found the </w:t>
      </w:r>
      <w:r w:rsidR="004B0DA7">
        <w:rPr>
          <w:rFonts w:cs="Segoe UI"/>
        </w:rPr>
        <w:t>ISD</w:t>
      </w:r>
      <w:r w:rsidRPr="00074F87">
        <w:rPr>
          <w:rFonts w:cs="Segoe UI"/>
        </w:rPr>
        <w:t xml:space="preserve"> delay</w:t>
      </w:r>
      <w:r w:rsidR="004B0DA7">
        <w:rPr>
          <w:rFonts w:cs="Segoe UI"/>
        </w:rPr>
        <w:t>s</w:t>
      </w:r>
      <w:r w:rsidRPr="00074F87">
        <w:rPr>
          <w:rFonts w:cs="Segoe UI"/>
        </w:rPr>
        <w:t xml:space="preserve"> reasonable with no further action required at this time. Approval allows the projects to proceed without additional review that could potentially delay a project further and increase costs.</w:t>
      </w:r>
    </w:p>
    <w:p w14:paraId="0E2B499F" w14:textId="7B8F92BD" w:rsidR="00D8552F" w:rsidRDefault="00D8552F" w:rsidP="00DD3469">
      <w:pPr>
        <w:keepNext/>
        <w:ind w:left="-446"/>
        <w:rPr>
          <w:rFonts w:cs="Segoe UI"/>
        </w:rPr>
      </w:pPr>
      <w:r w:rsidRPr="002B7C83">
        <w:rPr>
          <w:rFonts w:cs="Segoe UI"/>
          <w:b/>
        </w:rPr>
        <w:lastRenderedPageBreak/>
        <w:t>Major stakeholder discussion points</w:t>
      </w:r>
      <w:r w:rsidRPr="002B7C83">
        <w:rPr>
          <w:rFonts w:cs="Segoe UI"/>
        </w:rPr>
        <w:t>:</w:t>
      </w:r>
    </w:p>
    <w:p w14:paraId="0AA70A35" w14:textId="42B8B7F1" w:rsidR="00174B3D" w:rsidRPr="002B7C83" w:rsidRDefault="00174B3D" w:rsidP="00DD3469">
      <w:pPr>
        <w:keepNext/>
        <w:ind w:left="-446"/>
        <w:rPr>
          <w:rFonts w:cs="Segoe UI"/>
        </w:rPr>
      </w:pPr>
      <w:r w:rsidRPr="00174B3D">
        <w:rPr>
          <w:rFonts w:cs="Segoe UI"/>
        </w:rPr>
        <w:t>Certain stakeholders have expressed a desire for there to be more enforceability in the process; however, that desire is complicated by legal and regulatory hurdles</w:t>
      </w:r>
      <w:r>
        <w:rPr>
          <w:rFonts w:cs="Segoe UI"/>
        </w:rPr>
        <w:t>.</w:t>
      </w:r>
    </w:p>
    <w:p w14:paraId="46D2DBCF" w14:textId="44D6A171" w:rsidR="00906781" w:rsidRPr="00906781" w:rsidRDefault="00D8552F" w:rsidP="00D659D6">
      <w:pPr>
        <w:ind w:left="-450"/>
        <w:rPr>
          <w:rFonts w:cs="Segoe UI"/>
        </w:rPr>
      </w:pPr>
      <w:r w:rsidRPr="002B7C83">
        <w:rPr>
          <w:rFonts w:cs="Segoe UI"/>
          <w:b/>
        </w:rPr>
        <w:t xml:space="preserve">Voting history: </w:t>
      </w:r>
      <w:r w:rsidRPr="002B7C83">
        <w:rPr>
          <w:rFonts w:cs="Segoe UI"/>
        </w:rPr>
        <w:t xml:space="preserve">PCWG </w:t>
      </w:r>
      <w:r w:rsidR="00A665A5" w:rsidRPr="00413AE0">
        <w:rPr>
          <w:rFonts w:cs="Segoe UI"/>
        </w:rPr>
        <w:t>u</w:t>
      </w:r>
      <w:r w:rsidRPr="00413AE0">
        <w:rPr>
          <w:rFonts w:cs="Segoe UI"/>
        </w:rPr>
        <w:t xml:space="preserve">nanimously </w:t>
      </w:r>
      <w:r w:rsidR="00A665A5" w:rsidRPr="00413AE0">
        <w:rPr>
          <w:rFonts w:cs="Segoe UI"/>
        </w:rPr>
        <w:t>a</w:t>
      </w:r>
      <w:r w:rsidRPr="00413AE0">
        <w:rPr>
          <w:rFonts w:cs="Segoe UI"/>
        </w:rPr>
        <w:t>pproved</w:t>
      </w:r>
      <w:r w:rsidR="00D659D6" w:rsidRPr="00413AE0">
        <w:rPr>
          <w:rFonts w:cs="Segoe UI"/>
        </w:rPr>
        <w:t xml:space="preserve">, </w:t>
      </w:r>
      <w:r w:rsidR="00413AE0" w:rsidRPr="00413AE0">
        <w:rPr>
          <w:rFonts w:cs="Segoe UI"/>
        </w:rPr>
        <w:t xml:space="preserve">with </w:t>
      </w:r>
      <w:r w:rsidR="00A665A5" w:rsidRPr="00413AE0">
        <w:rPr>
          <w:rFonts w:cs="Segoe UI"/>
        </w:rPr>
        <w:t>no opposed</w:t>
      </w:r>
      <w:r w:rsidR="00413AE0" w:rsidRPr="00413AE0">
        <w:rPr>
          <w:rFonts w:cs="Segoe UI"/>
        </w:rPr>
        <w:t xml:space="preserve"> and no abstentions.</w:t>
      </w:r>
      <w:r w:rsidR="00A665A5" w:rsidRPr="00413AE0">
        <w:rPr>
          <w:rFonts w:cs="Segoe UI"/>
        </w:rPr>
        <w:t xml:space="preserve"> </w:t>
      </w:r>
    </w:p>
    <w:p w14:paraId="71BBD582" w14:textId="77777777" w:rsidR="00D8552F" w:rsidRPr="002B7C83" w:rsidRDefault="00D8552F" w:rsidP="00D8552F">
      <w:pPr>
        <w:spacing w:after="0"/>
        <w:ind w:left="-450"/>
        <w:rPr>
          <w:rFonts w:cs="Segoe UI"/>
        </w:rPr>
      </w:pPr>
      <w:r w:rsidRPr="002B7C83">
        <w:rPr>
          <w:rFonts w:cs="Segoe UI"/>
          <w:b/>
        </w:rPr>
        <w:t>Recommendation</w:t>
      </w:r>
      <w:r w:rsidRPr="002B7C83">
        <w:rPr>
          <w:rFonts w:cs="Segoe UI"/>
        </w:rPr>
        <w:t>: PCWG recommends the MOPC:</w:t>
      </w:r>
    </w:p>
    <w:p w14:paraId="4DFAC7D3" w14:textId="3852E87C" w:rsidR="00D8552F" w:rsidRPr="002B7C83" w:rsidRDefault="00D8552F" w:rsidP="00D8552F">
      <w:pPr>
        <w:pStyle w:val="ListParagraph"/>
        <w:numPr>
          <w:ilvl w:val="0"/>
          <w:numId w:val="20"/>
        </w:numPr>
        <w:spacing w:after="0"/>
        <w:rPr>
          <w:rFonts w:cs="Segoe UI"/>
        </w:rPr>
      </w:pPr>
      <w:r w:rsidRPr="002B7C83">
        <w:rPr>
          <w:rFonts w:cs="Segoe UI"/>
        </w:rPr>
        <w:t xml:space="preserve">Accept the </w:t>
      </w:r>
      <w:r w:rsidRPr="00AB1FEC">
        <w:rPr>
          <w:rFonts w:eastAsia="Times New Roman"/>
        </w:rPr>
        <w:t>In-Service Date deviation</w:t>
      </w:r>
      <w:r w:rsidR="004B0DA7">
        <w:rPr>
          <w:rFonts w:eastAsia="Times New Roman"/>
        </w:rPr>
        <w:t>s</w:t>
      </w:r>
      <w:r w:rsidRPr="00AB1FEC">
        <w:rPr>
          <w:rFonts w:eastAsia="Times New Roman"/>
        </w:rPr>
        <w:t xml:space="preserve"> as reasonable and acceptable and reestablish the baseline</w:t>
      </w:r>
      <w:r w:rsidR="004B0DA7">
        <w:rPr>
          <w:rFonts w:eastAsia="Times New Roman"/>
        </w:rPr>
        <w:t>s</w:t>
      </w:r>
      <w:r w:rsidRPr="00AB1FEC">
        <w:rPr>
          <w:rFonts w:eastAsia="Times New Roman"/>
        </w:rPr>
        <w:t xml:space="preserve"> used to evaluate future In-Service Date deviations</w:t>
      </w:r>
      <w:r w:rsidRPr="002B7C83">
        <w:rPr>
          <w:rFonts w:cs="Segoe UI"/>
        </w:rPr>
        <w:t>.</w:t>
      </w:r>
    </w:p>
    <w:p w14:paraId="5EA20106" w14:textId="148DEF81" w:rsidR="00AD4E78" w:rsidRDefault="00AD4E78">
      <w:pPr>
        <w:tabs>
          <w:tab w:val="clear" w:pos="2431"/>
        </w:tabs>
        <w:spacing w:after="160" w:line="259" w:lineRule="auto"/>
        <w:rPr>
          <w:rFonts w:cs="Segoe UI"/>
        </w:rPr>
      </w:pPr>
      <w:r>
        <w:rPr>
          <w:rFonts w:cs="Segoe UI"/>
        </w:rPr>
        <w:br w:type="page"/>
      </w:r>
    </w:p>
    <w:p w14:paraId="7037851E" w14:textId="77777777" w:rsidR="00054A5E" w:rsidRDefault="00054A5E" w:rsidP="00770FB6">
      <w:pPr>
        <w:pStyle w:val="ListParagraph"/>
        <w:numPr>
          <w:ilvl w:val="0"/>
          <w:numId w:val="0"/>
        </w:numPr>
        <w:spacing w:after="0"/>
        <w:ind w:left="60" w:hanging="540"/>
        <w:rPr>
          <w:rFonts w:cs="Segoe UI"/>
          <w:b/>
          <w:bCs/>
          <w:i/>
          <w:iCs/>
        </w:rPr>
        <w:sectPr w:rsidR="00054A5E" w:rsidSect="00054A5E">
          <w:headerReference w:type="default" r:id="rId11"/>
          <w:footerReference w:type="even" r:id="rId12"/>
          <w:footerReference w:type="default" r:id="rId13"/>
          <w:headerReference w:type="first" r:id="rId14"/>
          <w:footerReference w:type="first" r:id="rId15"/>
          <w:pgSz w:w="12240" w:h="15840"/>
          <w:pgMar w:top="1080" w:right="1440" w:bottom="1440" w:left="1440" w:header="446" w:footer="720" w:gutter="0"/>
          <w:pgNumType w:start="1"/>
          <w:cols w:space="720"/>
          <w:titlePg/>
          <w:docGrid w:linePitch="360"/>
        </w:sectPr>
      </w:pPr>
    </w:p>
    <w:p w14:paraId="5386EEED" w14:textId="14E1D0E8" w:rsidR="00217462" w:rsidRPr="00217462" w:rsidRDefault="00217462" w:rsidP="00217462">
      <w:pPr>
        <w:pStyle w:val="Heading2"/>
        <w:jc w:val="center"/>
        <w:rPr>
          <w:sz w:val="28"/>
          <w:szCs w:val="40"/>
        </w:rPr>
      </w:pPr>
      <w:r w:rsidRPr="00217462">
        <w:rPr>
          <w:sz w:val="28"/>
          <w:szCs w:val="40"/>
        </w:rPr>
        <w:lastRenderedPageBreak/>
        <w:t>appendix 1</w:t>
      </w:r>
    </w:p>
    <w:p w14:paraId="47983470" w14:textId="7CC4D6CE" w:rsidR="006F5336" w:rsidRDefault="00AD4E78" w:rsidP="00217462">
      <w:pPr>
        <w:pStyle w:val="ListParagraph"/>
        <w:numPr>
          <w:ilvl w:val="0"/>
          <w:numId w:val="0"/>
        </w:numPr>
        <w:spacing w:after="0"/>
        <w:ind w:left="60" w:hanging="540"/>
        <w:rPr>
          <w:rFonts w:cs="Segoe UI"/>
          <w:b/>
          <w:bCs/>
          <w:i/>
          <w:iCs/>
        </w:rPr>
      </w:pPr>
      <w:r>
        <w:rPr>
          <w:rFonts w:cs="Segoe UI"/>
          <w:b/>
          <w:bCs/>
          <w:i/>
          <w:iCs/>
        </w:rPr>
        <w:t>T</w:t>
      </w:r>
      <w:r w:rsidR="006F5336" w:rsidRPr="002B7C83">
        <w:rPr>
          <w:rFonts w:cs="Segoe UI"/>
          <w:b/>
          <w:bCs/>
          <w:i/>
          <w:iCs/>
        </w:rPr>
        <w:t xml:space="preserve">he table below </w:t>
      </w:r>
      <w:r w:rsidR="002B7C83" w:rsidRPr="002B7C83">
        <w:rPr>
          <w:rFonts w:cs="Segoe UI"/>
          <w:b/>
          <w:bCs/>
          <w:i/>
          <w:iCs/>
        </w:rPr>
        <w:t>lists</w:t>
      </w:r>
      <w:r w:rsidR="006F5336" w:rsidRPr="002B7C83">
        <w:rPr>
          <w:rFonts w:cs="Segoe UI"/>
          <w:b/>
          <w:bCs/>
          <w:i/>
          <w:iCs/>
        </w:rPr>
        <w:t xml:space="preserve"> the </w:t>
      </w:r>
      <w:r w:rsidR="00413AE0">
        <w:rPr>
          <w:rFonts w:cs="Segoe UI"/>
          <w:b/>
          <w:bCs/>
          <w:i/>
          <w:iCs/>
        </w:rPr>
        <w:t>six</w:t>
      </w:r>
      <w:r w:rsidR="001451E8" w:rsidRPr="002B7C83">
        <w:rPr>
          <w:rFonts w:cs="Segoe UI"/>
          <w:b/>
          <w:bCs/>
          <w:i/>
          <w:iCs/>
        </w:rPr>
        <w:t xml:space="preserve"> </w:t>
      </w:r>
      <w:r w:rsidR="006F5336" w:rsidRPr="002B7C83">
        <w:rPr>
          <w:rFonts w:cs="Segoe UI"/>
          <w:b/>
          <w:bCs/>
          <w:i/>
          <w:iCs/>
        </w:rPr>
        <w:t>upgrades identified by the PCWG to be reasonable and acceptable.</w:t>
      </w:r>
    </w:p>
    <w:p w14:paraId="41D5F398" w14:textId="77777777" w:rsidR="00413AE0" w:rsidRPr="00CE588D" w:rsidRDefault="00413AE0" w:rsidP="00CE588D">
      <w:pPr>
        <w:spacing w:after="0"/>
        <w:rPr>
          <w:rFonts w:cs="Segoe UI"/>
          <w:i/>
          <w:iCs/>
        </w:rPr>
      </w:pPr>
    </w:p>
    <w:tbl>
      <w:tblPr>
        <w:tblStyle w:val="TableGrid"/>
        <w:tblpPr w:leftFromText="180" w:rightFromText="180" w:vertAnchor="text" w:tblpXSpec="center" w:tblpY="1"/>
        <w:tblOverlap w:val="never"/>
        <w:tblW w:w="5308" w:type="pct"/>
        <w:tblLayout w:type="fixed"/>
        <w:tblLook w:val="04A0" w:firstRow="1" w:lastRow="0" w:firstColumn="1" w:lastColumn="0" w:noHBand="0" w:noVBand="1"/>
      </w:tblPr>
      <w:tblGrid>
        <w:gridCol w:w="897"/>
        <w:gridCol w:w="1077"/>
        <w:gridCol w:w="814"/>
        <w:gridCol w:w="2608"/>
        <w:gridCol w:w="1710"/>
        <w:gridCol w:w="1348"/>
        <w:gridCol w:w="1260"/>
        <w:gridCol w:w="1082"/>
        <w:gridCol w:w="1260"/>
        <w:gridCol w:w="2074"/>
      </w:tblGrid>
      <w:tr w:rsidR="00413AE0" w:rsidRPr="00E252A6" w14:paraId="52DFC58F" w14:textId="77777777" w:rsidTr="00413AE0">
        <w:trPr>
          <w:trHeight w:val="1475"/>
          <w:tblHeader/>
        </w:trPr>
        <w:tc>
          <w:tcPr>
            <w:tcW w:w="317" w:type="pct"/>
            <w:shd w:val="clear" w:color="auto" w:fill="2399BB" w:themeFill="accent2"/>
            <w:vAlign w:val="bottom"/>
            <w:hideMark/>
          </w:tcPr>
          <w:p w14:paraId="43FD39CE" w14:textId="77777777" w:rsidR="004B0DA7" w:rsidRPr="00E252A6" w:rsidRDefault="004B0DA7" w:rsidP="00F66DA5">
            <w:pPr>
              <w:jc w:val="center"/>
              <w:rPr>
                <w:rFonts w:cs="Segoe UI"/>
                <w:b/>
                <w:bCs/>
                <w:color w:val="FFFFFF" w:themeColor="background1"/>
                <w:sz w:val="20"/>
                <w:szCs w:val="20"/>
              </w:rPr>
            </w:pPr>
            <w:r w:rsidRPr="00E252A6">
              <w:rPr>
                <w:rFonts w:cs="Segoe UI"/>
                <w:b/>
                <w:bCs/>
                <w:color w:val="FFFFFF" w:themeColor="background1"/>
                <w:sz w:val="20"/>
                <w:szCs w:val="20"/>
              </w:rPr>
              <w:t>Project ID</w:t>
            </w:r>
          </w:p>
        </w:tc>
        <w:tc>
          <w:tcPr>
            <w:tcW w:w="381" w:type="pct"/>
            <w:shd w:val="clear" w:color="auto" w:fill="2399BB" w:themeFill="accent2"/>
            <w:vAlign w:val="bottom"/>
            <w:hideMark/>
          </w:tcPr>
          <w:p w14:paraId="649F6F79" w14:textId="77777777" w:rsidR="004B0DA7" w:rsidRPr="00E252A6" w:rsidRDefault="004B0DA7" w:rsidP="00F66DA5">
            <w:pPr>
              <w:jc w:val="center"/>
              <w:rPr>
                <w:rFonts w:cs="Segoe UI"/>
                <w:b/>
                <w:bCs/>
                <w:color w:val="FFFFFF" w:themeColor="background1"/>
                <w:sz w:val="20"/>
                <w:szCs w:val="20"/>
              </w:rPr>
            </w:pPr>
            <w:bookmarkStart w:id="0" w:name="RANGE!B1:I32"/>
            <w:r w:rsidRPr="00E252A6">
              <w:rPr>
                <w:rFonts w:cs="Segoe UI"/>
                <w:b/>
                <w:bCs/>
                <w:color w:val="FFFFFF" w:themeColor="background1"/>
                <w:sz w:val="20"/>
                <w:szCs w:val="20"/>
              </w:rPr>
              <w:t>Upgrade ID</w:t>
            </w:r>
            <w:bookmarkEnd w:id="0"/>
          </w:p>
        </w:tc>
        <w:tc>
          <w:tcPr>
            <w:tcW w:w="288" w:type="pct"/>
            <w:shd w:val="clear" w:color="auto" w:fill="2399BB" w:themeFill="accent2"/>
            <w:vAlign w:val="bottom"/>
          </w:tcPr>
          <w:p w14:paraId="26FAAF59" w14:textId="0C4C3A0E" w:rsidR="004B0DA7" w:rsidRPr="00E252A6" w:rsidRDefault="004B0DA7" w:rsidP="00F66DA5">
            <w:pPr>
              <w:jc w:val="center"/>
              <w:rPr>
                <w:rFonts w:cs="Segoe UI"/>
                <w:b/>
                <w:bCs/>
                <w:color w:val="FFFFFF" w:themeColor="background1"/>
                <w:sz w:val="20"/>
                <w:szCs w:val="20"/>
              </w:rPr>
            </w:pPr>
            <w:r w:rsidRPr="00E252A6">
              <w:rPr>
                <w:rFonts w:cs="Segoe UI"/>
                <w:b/>
                <w:bCs/>
                <w:color w:val="FFFFFF" w:themeColor="background1"/>
                <w:sz w:val="20"/>
                <w:szCs w:val="20"/>
              </w:rPr>
              <w:t>TO</w:t>
            </w:r>
          </w:p>
        </w:tc>
        <w:tc>
          <w:tcPr>
            <w:tcW w:w="923" w:type="pct"/>
            <w:shd w:val="clear" w:color="auto" w:fill="2399BB" w:themeFill="accent2"/>
            <w:vAlign w:val="bottom"/>
            <w:hideMark/>
          </w:tcPr>
          <w:p w14:paraId="5384546A" w14:textId="5EE2343B" w:rsidR="004B0DA7" w:rsidRPr="00E252A6" w:rsidRDefault="004B0DA7" w:rsidP="00F66DA5">
            <w:pPr>
              <w:jc w:val="center"/>
              <w:rPr>
                <w:rFonts w:cs="Segoe UI"/>
                <w:b/>
                <w:bCs/>
                <w:color w:val="FFFFFF" w:themeColor="background1"/>
                <w:sz w:val="20"/>
                <w:szCs w:val="20"/>
              </w:rPr>
            </w:pPr>
            <w:r w:rsidRPr="00E252A6">
              <w:rPr>
                <w:rFonts w:cs="Segoe UI"/>
                <w:b/>
                <w:bCs/>
                <w:color w:val="FFFFFF" w:themeColor="background1"/>
                <w:sz w:val="20"/>
                <w:szCs w:val="20"/>
              </w:rPr>
              <w:t>Upgrade Name</w:t>
            </w:r>
          </w:p>
        </w:tc>
        <w:tc>
          <w:tcPr>
            <w:tcW w:w="605" w:type="pct"/>
            <w:shd w:val="clear" w:color="auto" w:fill="2399BB" w:themeFill="accent2"/>
            <w:vAlign w:val="bottom"/>
            <w:hideMark/>
          </w:tcPr>
          <w:p w14:paraId="16A75016" w14:textId="77777777" w:rsidR="004B0DA7" w:rsidRPr="00E252A6" w:rsidRDefault="004B0DA7" w:rsidP="00F66DA5">
            <w:pPr>
              <w:jc w:val="center"/>
              <w:rPr>
                <w:rFonts w:cs="Segoe UI"/>
                <w:b/>
                <w:bCs/>
                <w:color w:val="FFFFFF" w:themeColor="background1"/>
                <w:sz w:val="20"/>
                <w:szCs w:val="20"/>
              </w:rPr>
            </w:pPr>
            <w:r w:rsidRPr="00E252A6">
              <w:rPr>
                <w:rFonts w:cs="Segoe UI"/>
                <w:b/>
                <w:bCs/>
                <w:color w:val="FFFFFF" w:themeColor="background1"/>
                <w:sz w:val="20"/>
                <w:szCs w:val="20"/>
              </w:rPr>
              <w:t>Source Study</w:t>
            </w:r>
          </w:p>
        </w:tc>
        <w:tc>
          <w:tcPr>
            <w:tcW w:w="477" w:type="pct"/>
            <w:shd w:val="clear" w:color="auto" w:fill="2399BB" w:themeFill="accent2"/>
            <w:vAlign w:val="bottom"/>
            <w:hideMark/>
          </w:tcPr>
          <w:p w14:paraId="2BB80CD9" w14:textId="77777777" w:rsidR="004B0DA7" w:rsidRPr="00E252A6" w:rsidRDefault="004B0DA7" w:rsidP="00F66DA5">
            <w:pPr>
              <w:jc w:val="center"/>
              <w:rPr>
                <w:rFonts w:cs="Segoe UI"/>
                <w:b/>
                <w:bCs/>
                <w:color w:val="FFFFFF" w:themeColor="background1"/>
                <w:sz w:val="20"/>
                <w:szCs w:val="20"/>
              </w:rPr>
            </w:pPr>
            <w:r w:rsidRPr="00E252A6">
              <w:rPr>
                <w:rFonts w:cs="Segoe UI"/>
                <w:b/>
                <w:bCs/>
                <w:color w:val="FFFFFF" w:themeColor="background1"/>
                <w:sz w:val="20"/>
                <w:szCs w:val="20"/>
              </w:rPr>
              <w:t>Project Owner Indicated In-Service Date</w:t>
            </w:r>
            <w:r w:rsidRPr="00E252A6">
              <w:rPr>
                <w:rStyle w:val="FootnoteReference"/>
                <w:rFonts w:cs="Segoe UI"/>
                <w:b/>
                <w:bCs/>
                <w:color w:val="FFFFFF" w:themeColor="background1"/>
                <w:sz w:val="20"/>
                <w:szCs w:val="20"/>
              </w:rPr>
              <w:footnoteReference w:id="2"/>
            </w:r>
          </w:p>
        </w:tc>
        <w:tc>
          <w:tcPr>
            <w:tcW w:w="446" w:type="pct"/>
            <w:shd w:val="clear" w:color="auto" w:fill="2399BB" w:themeFill="accent2"/>
            <w:vAlign w:val="bottom"/>
            <w:hideMark/>
          </w:tcPr>
          <w:p w14:paraId="4ED1A4CB" w14:textId="77777777" w:rsidR="004B0DA7" w:rsidRPr="00E252A6" w:rsidRDefault="004B0DA7" w:rsidP="00F66DA5">
            <w:pPr>
              <w:jc w:val="center"/>
              <w:rPr>
                <w:rFonts w:cs="Segoe UI"/>
                <w:b/>
                <w:bCs/>
                <w:color w:val="FFFFFF" w:themeColor="background1"/>
                <w:sz w:val="20"/>
                <w:szCs w:val="20"/>
              </w:rPr>
            </w:pPr>
            <w:r w:rsidRPr="00E252A6">
              <w:rPr>
                <w:rFonts w:cs="Segoe UI"/>
                <w:b/>
                <w:bCs/>
                <w:color w:val="FFFFFF" w:themeColor="background1"/>
                <w:sz w:val="20"/>
                <w:szCs w:val="20"/>
              </w:rPr>
              <w:t>First Reported In-Service Date</w:t>
            </w:r>
            <w:r w:rsidRPr="00E252A6">
              <w:rPr>
                <w:rStyle w:val="FootnoteReference"/>
                <w:rFonts w:cs="Segoe UI"/>
                <w:b/>
                <w:bCs/>
                <w:color w:val="FFFFFF" w:themeColor="background1"/>
                <w:sz w:val="20"/>
                <w:szCs w:val="20"/>
              </w:rPr>
              <w:footnoteReference w:id="3"/>
            </w:r>
          </w:p>
        </w:tc>
        <w:tc>
          <w:tcPr>
            <w:tcW w:w="383" w:type="pct"/>
            <w:shd w:val="clear" w:color="auto" w:fill="2399BB" w:themeFill="accent2"/>
            <w:vAlign w:val="bottom"/>
            <w:hideMark/>
          </w:tcPr>
          <w:p w14:paraId="5BABCFEB" w14:textId="066912F3" w:rsidR="004B0DA7" w:rsidRPr="00E252A6" w:rsidRDefault="004B0DA7" w:rsidP="000C01FE">
            <w:pPr>
              <w:jc w:val="center"/>
              <w:rPr>
                <w:rFonts w:cs="Segoe UI"/>
                <w:b/>
                <w:bCs/>
                <w:color w:val="FFFFFF" w:themeColor="background1"/>
                <w:sz w:val="20"/>
                <w:szCs w:val="20"/>
              </w:rPr>
            </w:pPr>
            <w:r w:rsidRPr="00E252A6">
              <w:rPr>
                <w:rFonts w:cs="Segoe UI"/>
                <w:b/>
                <w:bCs/>
                <w:color w:val="FFFFFF" w:themeColor="background1"/>
                <w:sz w:val="20"/>
                <w:szCs w:val="20"/>
              </w:rPr>
              <w:t xml:space="preserve">Years </w:t>
            </w:r>
            <w:r>
              <w:rPr>
                <w:rFonts w:cs="Segoe UI"/>
                <w:b/>
                <w:bCs/>
                <w:color w:val="FFFFFF" w:themeColor="background1"/>
                <w:sz w:val="20"/>
                <w:szCs w:val="20"/>
              </w:rPr>
              <w:t xml:space="preserve">/ Days </w:t>
            </w:r>
            <w:r w:rsidRPr="00E252A6">
              <w:rPr>
                <w:rFonts w:cs="Segoe UI"/>
                <w:b/>
                <w:bCs/>
                <w:color w:val="FFFFFF" w:themeColor="background1"/>
                <w:sz w:val="20"/>
                <w:szCs w:val="20"/>
              </w:rPr>
              <w:t>Delayed</w:t>
            </w:r>
            <w:r w:rsidRPr="00E252A6">
              <w:rPr>
                <w:rStyle w:val="FootnoteReference"/>
                <w:rFonts w:cs="Segoe UI"/>
                <w:b/>
                <w:bCs/>
                <w:color w:val="FFFFFF" w:themeColor="background1"/>
                <w:sz w:val="20"/>
                <w:szCs w:val="20"/>
              </w:rPr>
              <w:footnoteReference w:id="4"/>
            </w:r>
          </w:p>
        </w:tc>
        <w:tc>
          <w:tcPr>
            <w:tcW w:w="446" w:type="pct"/>
            <w:shd w:val="clear" w:color="auto" w:fill="2399BB" w:themeFill="accent2"/>
            <w:vAlign w:val="bottom"/>
          </w:tcPr>
          <w:p w14:paraId="62D4C5C0" w14:textId="2794AE87" w:rsidR="004B0DA7" w:rsidRPr="00E252A6" w:rsidRDefault="004B0DA7" w:rsidP="00F66DA5">
            <w:pPr>
              <w:jc w:val="center"/>
              <w:rPr>
                <w:rFonts w:cs="Segoe UI"/>
                <w:b/>
                <w:bCs/>
                <w:color w:val="FFFFFF" w:themeColor="background1"/>
                <w:sz w:val="20"/>
                <w:szCs w:val="20"/>
              </w:rPr>
            </w:pPr>
            <w:r w:rsidRPr="00E252A6">
              <w:rPr>
                <w:rFonts w:cs="Segoe UI"/>
                <w:b/>
                <w:bCs/>
                <w:color w:val="FFFFFF" w:themeColor="background1"/>
                <w:sz w:val="20"/>
                <w:szCs w:val="20"/>
              </w:rPr>
              <w:t xml:space="preserve">Upgrade </w:t>
            </w:r>
            <w:r>
              <w:rPr>
                <w:rFonts w:cs="Segoe UI"/>
                <w:b/>
                <w:bCs/>
                <w:color w:val="FFFFFF" w:themeColor="background1"/>
                <w:sz w:val="20"/>
                <w:szCs w:val="20"/>
              </w:rPr>
              <w:t>%</w:t>
            </w:r>
            <w:r w:rsidRPr="00E252A6">
              <w:rPr>
                <w:rFonts w:cs="Segoe UI"/>
                <w:b/>
                <w:bCs/>
                <w:color w:val="FFFFFF" w:themeColor="background1"/>
                <w:sz w:val="20"/>
                <w:szCs w:val="20"/>
              </w:rPr>
              <w:t xml:space="preserve"> Complete</w:t>
            </w:r>
          </w:p>
        </w:tc>
        <w:tc>
          <w:tcPr>
            <w:tcW w:w="734" w:type="pct"/>
            <w:shd w:val="clear" w:color="auto" w:fill="2399BB" w:themeFill="accent2"/>
            <w:vAlign w:val="bottom"/>
            <w:hideMark/>
          </w:tcPr>
          <w:p w14:paraId="17B34160" w14:textId="0066C675" w:rsidR="004B0DA7" w:rsidRPr="00E252A6" w:rsidRDefault="00413AE0" w:rsidP="00F66DA5">
            <w:pPr>
              <w:jc w:val="center"/>
              <w:rPr>
                <w:rFonts w:cs="Segoe UI"/>
                <w:b/>
                <w:bCs/>
                <w:color w:val="FFFFFF" w:themeColor="background1"/>
                <w:sz w:val="20"/>
                <w:szCs w:val="20"/>
              </w:rPr>
            </w:pPr>
            <w:r>
              <w:rPr>
                <w:rFonts w:cs="Segoe UI"/>
                <w:b/>
                <w:bCs/>
                <w:color w:val="FFFFFF" w:themeColor="background1"/>
                <w:sz w:val="20"/>
                <w:szCs w:val="20"/>
              </w:rPr>
              <w:t>Reason for Delay</w:t>
            </w:r>
          </w:p>
        </w:tc>
      </w:tr>
      <w:tr w:rsidR="00413AE0" w:rsidRPr="00E252A6" w14:paraId="4FCEBD74" w14:textId="77777777" w:rsidTr="00CE588D">
        <w:trPr>
          <w:trHeight w:val="746"/>
        </w:trPr>
        <w:tc>
          <w:tcPr>
            <w:tcW w:w="317" w:type="pct"/>
            <w:noWrap/>
            <w:vAlign w:val="center"/>
          </w:tcPr>
          <w:p w14:paraId="6DAAD5F0" w14:textId="2B1BC049" w:rsidR="00413AE0" w:rsidRPr="00CE588D" w:rsidRDefault="00413AE0" w:rsidP="00413AE0">
            <w:pPr>
              <w:jc w:val="center"/>
              <w:rPr>
                <w:rFonts w:cs="Segoe UI"/>
              </w:rPr>
            </w:pPr>
            <w:r w:rsidRPr="00CE588D">
              <w:rPr>
                <w:rFonts w:asciiTheme="minorHAnsi" w:cs="Segoe UI"/>
                <w:color w:val="000000"/>
                <w:kern w:val="24"/>
              </w:rPr>
              <w:t>51254</w:t>
            </w:r>
          </w:p>
        </w:tc>
        <w:tc>
          <w:tcPr>
            <w:tcW w:w="381" w:type="pct"/>
            <w:noWrap/>
            <w:vAlign w:val="center"/>
          </w:tcPr>
          <w:p w14:paraId="4DDE53F8" w14:textId="62AC6DA9" w:rsidR="00413AE0" w:rsidRPr="00CE588D" w:rsidRDefault="00413AE0" w:rsidP="00413AE0">
            <w:pPr>
              <w:jc w:val="center"/>
              <w:rPr>
                <w:rFonts w:cs="Segoe UI"/>
              </w:rPr>
            </w:pPr>
            <w:r w:rsidRPr="00CE588D">
              <w:rPr>
                <w:rFonts w:asciiTheme="minorHAnsi" w:cs="Segoe UI"/>
                <w:color w:val="000000"/>
                <w:kern w:val="24"/>
              </w:rPr>
              <w:t>71964</w:t>
            </w:r>
          </w:p>
        </w:tc>
        <w:tc>
          <w:tcPr>
            <w:tcW w:w="288" w:type="pct"/>
            <w:vAlign w:val="center"/>
          </w:tcPr>
          <w:p w14:paraId="235EFB21" w14:textId="0BF7CEA1" w:rsidR="00413AE0" w:rsidRPr="00CE588D" w:rsidRDefault="00413AE0" w:rsidP="00413AE0">
            <w:pPr>
              <w:jc w:val="center"/>
              <w:rPr>
                <w:rFonts w:cs="Segoe UI"/>
              </w:rPr>
            </w:pPr>
            <w:r w:rsidRPr="00CE588D">
              <w:rPr>
                <w:rFonts w:asciiTheme="minorHAnsi" w:cs="Segoe UI"/>
                <w:color w:val="000000"/>
                <w:kern w:val="24"/>
              </w:rPr>
              <w:t>NPPD</w:t>
            </w:r>
          </w:p>
        </w:tc>
        <w:tc>
          <w:tcPr>
            <w:tcW w:w="923" w:type="pct"/>
            <w:vAlign w:val="center"/>
          </w:tcPr>
          <w:p w14:paraId="65482DA1" w14:textId="3CBEAEFC" w:rsidR="00413AE0" w:rsidRPr="00CE588D" w:rsidRDefault="00413AE0" w:rsidP="00413AE0">
            <w:pPr>
              <w:jc w:val="center"/>
              <w:rPr>
                <w:rFonts w:cs="Segoe UI"/>
              </w:rPr>
            </w:pPr>
            <w:r w:rsidRPr="00CE588D">
              <w:rPr>
                <w:rFonts w:asciiTheme="minorHAnsi" w:cs="Segoe UI"/>
                <w:color w:val="000000"/>
                <w:kern w:val="24"/>
              </w:rPr>
              <w:t>Monolith 345/115 kV Transformer #1</w:t>
            </w:r>
          </w:p>
        </w:tc>
        <w:tc>
          <w:tcPr>
            <w:tcW w:w="605" w:type="pct"/>
            <w:vAlign w:val="center"/>
          </w:tcPr>
          <w:p w14:paraId="1D0B5FD8" w14:textId="7A4BD1BC" w:rsidR="00413AE0" w:rsidRPr="00CE588D" w:rsidRDefault="00413AE0" w:rsidP="00413AE0">
            <w:pPr>
              <w:jc w:val="center"/>
              <w:rPr>
                <w:rFonts w:cs="Segoe UI"/>
              </w:rPr>
            </w:pPr>
            <w:r w:rsidRPr="00CE588D">
              <w:rPr>
                <w:rFonts w:asciiTheme="minorHAnsi" w:cs="Segoe UI"/>
                <w:color w:val="000000"/>
                <w:kern w:val="24"/>
              </w:rPr>
              <w:t>DPA-2016-December-703</w:t>
            </w:r>
          </w:p>
        </w:tc>
        <w:tc>
          <w:tcPr>
            <w:tcW w:w="477" w:type="pct"/>
            <w:noWrap/>
            <w:vAlign w:val="center"/>
          </w:tcPr>
          <w:p w14:paraId="58689997" w14:textId="49BA117B" w:rsidR="00413AE0" w:rsidRPr="00CE588D" w:rsidRDefault="00413AE0" w:rsidP="00413AE0">
            <w:pPr>
              <w:jc w:val="center"/>
              <w:rPr>
                <w:rFonts w:cs="Segoe UI"/>
              </w:rPr>
            </w:pPr>
            <w:r w:rsidRPr="00CE588D">
              <w:rPr>
                <w:rFonts w:asciiTheme="minorHAnsi" w:cs="Segoe UI"/>
                <w:color w:val="000000"/>
                <w:kern w:val="24"/>
              </w:rPr>
              <w:t>1/1/2026</w:t>
            </w:r>
          </w:p>
        </w:tc>
        <w:tc>
          <w:tcPr>
            <w:tcW w:w="446" w:type="pct"/>
            <w:noWrap/>
            <w:vAlign w:val="center"/>
          </w:tcPr>
          <w:p w14:paraId="3FD91191" w14:textId="023D8304" w:rsidR="00413AE0" w:rsidRPr="00CE588D" w:rsidRDefault="00413AE0" w:rsidP="00413AE0">
            <w:pPr>
              <w:jc w:val="center"/>
              <w:rPr>
                <w:rFonts w:cs="Segoe UI"/>
              </w:rPr>
            </w:pPr>
            <w:r w:rsidRPr="00CE588D">
              <w:rPr>
                <w:rFonts w:asciiTheme="minorHAnsi" w:cs="Segoe UI"/>
                <w:color w:val="000000"/>
                <w:kern w:val="24"/>
              </w:rPr>
              <w:t>4/1/2020</w:t>
            </w:r>
          </w:p>
        </w:tc>
        <w:tc>
          <w:tcPr>
            <w:tcW w:w="383" w:type="pct"/>
            <w:noWrap/>
            <w:vAlign w:val="center"/>
          </w:tcPr>
          <w:p w14:paraId="0583CE1B" w14:textId="0CD7D014" w:rsidR="00413AE0" w:rsidRPr="00CE588D" w:rsidRDefault="00413AE0" w:rsidP="00413AE0">
            <w:pPr>
              <w:jc w:val="center"/>
              <w:rPr>
                <w:rFonts w:cs="Segoe UI"/>
              </w:rPr>
            </w:pPr>
            <w:r w:rsidRPr="00CE588D">
              <w:rPr>
                <w:rFonts w:asciiTheme="minorHAnsi" w:cs="Segoe UI"/>
                <w:color w:val="2A363B" w:themeColor="text1"/>
                <w:kern w:val="24"/>
              </w:rPr>
              <w:t>6 years</w:t>
            </w:r>
          </w:p>
        </w:tc>
        <w:tc>
          <w:tcPr>
            <w:tcW w:w="446" w:type="pct"/>
            <w:vAlign w:val="center"/>
          </w:tcPr>
          <w:p w14:paraId="43D76F25" w14:textId="4E563568" w:rsidR="00413AE0" w:rsidRPr="00CE588D" w:rsidRDefault="00413AE0" w:rsidP="00413AE0">
            <w:pPr>
              <w:jc w:val="center"/>
              <w:rPr>
                <w:rFonts w:cs="Segoe UI"/>
              </w:rPr>
            </w:pPr>
            <w:r w:rsidRPr="00CE588D">
              <w:rPr>
                <w:rFonts w:asciiTheme="minorHAnsi" w:cs="Segoe UI"/>
                <w:color w:val="000000"/>
                <w:kern w:val="24"/>
              </w:rPr>
              <w:t>98%</w:t>
            </w:r>
          </w:p>
        </w:tc>
        <w:tc>
          <w:tcPr>
            <w:tcW w:w="734" w:type="pct"/>
            <w:vAlign w:val="center"/>
          </w:tcPr>
          <w:p w14:paraId="3ACFC53E" w14:textId="5C4BB2B5" w:rsidR="00413AE0" w:rsidRPr="00CE588D" w:rsidRDefault="00413AE0" w:rsidP="00CE588D">
            <w:pPr>
              <w:jc w:val="center"/>
              <w:rPr>
                <w:rFonts w:cs="Segoe UI"/>
              </w:rPr>
            </w:pPr>
            <w:r w:rsidRPr="00CE588D">
              <w:rPr>
                <w:rFonts w:asciiTheme="minorHAnsi" w:cs="Segoe UI"/>
                <w:color w:val="000000"/>
                <w:kern w:val="24"/>
              </w:rPr>
              <w:t>Material Procurement</w:t>
            </w:r>
          </w:p>
        </w:tc>
      </w:tr>
      <w:tr w:rsidR="00413AE0" w:rsidRPr="00E252A6" w14:paraId="513F4693" w14:textId="77777777" w:rsidTr="00CE588D">
        <w:trPr>
          <w:trHeight w:val="683"/>
        </w:trPr>
        <w:tc>
          <w:tcPr>
            <w:tcW w:w="317" w:type="pct"/>
            <w:noWrap/>
            <w:vAlign w:val="center"/>
          </w:tcPr>
          <w:p w14:paraId="4946F47D" w14:textId="5F13B5CD" w:rsidR="00413AE0" w:rsidRPr="00CE588D" w:rsidRDefault="00413AE0" w:rsidP="00413AE0">
            <w:pPr>
              <w:jc w:val="center"/>
              <w:rPr>
                <w:rFonts w:cs="Segoe UI"/>
              </w:rPr>
            </w:pPr>
            <w:r w:rsidRPr="00CE588D">
              <w:rPr>
                <w:rFonts w:asciiTheme="minorHAnsi" w:cs="Segoe UI"/>
                <w:color w:val="000000"/>
                <w:kern w:val="24"/>
              </w:rPr>
              <w:t>51254</w:t>
            </w:r>
          </w:p>
        </w:tc>
        <w:tc>
          <w:tcPr>
            <w:tcW w:w="381" w:type="pct"/>
            <w:noWrap/>
            <w:vAlign w:val="center"/>
          </w:tcPr>
          <w:p w14:paraId="421E4816" w14:textId="12325078" w:rsidR="00413AE0" w:rsidRPr="00CE588D" w:rsidRDefault="00413AE0" w:rsidP="00413AE0">
            <w:pPr>
              <w:jc w:val="center"/>
              <w:rPr>
                <w:rFonts w:cs="Segoe UI"/>
              </w:rPr>
            </w:pPr>
            <w:r w:rsidRPr="00CE588D">
              <w:rPr>
                <w:rFonts w:asciiTheme="minorHAnsi" w:cs="Segoe UI"/>
                <w:color w:val="000000"/>
                <w:kern w:val="24"/>
              </w:rPr>
              <w:t>71966</w:t>
            </w:r>
          </w:p>
        </w:tc>
        <w:tc>
          <w:tcPr>
            <w:tcW w:w="288" w:type="pct"/>
            <w:vAlign w:val="center"/>
          </w:tcPr>
          <w:p w14:paraId="259A5A00" w14:textId="2F45BAA6" w:rsidR="00413AE0" w:rsidRPr="00CE588D" w:rsidRDefault="00413AE0" w:rsidP="00413AE0">
            <w:pPr>
              <w:jc w:val="center"/>
              <w:rPr>
                <w:rFonts w:cs="Segoe UI"/>
              </w:rPr>
            </w:pPr>
            <w:r w:rsidRPr="00CE588D">
              <w:rPr>
                <w:rFonts w:asciiTheme="minorHAnsi" w:cs="Segoe UI"/>
                <w:color w:val="000000"/>
                <w:kern w:val="24"/>
              </w:rPr>
              <w:t>NPPD</w:t>
            </w:r>
          </w:p>
        </w:tc>
        <w:tc>
          <w:tcPr>
            <w:tcW w:w="923" w:type="pct"/>
            <w:vAlign w:val="center"/>
          </w:tcPr>
          <w:p w14:paraId="1EC04451" w14:textId="21164ED8" w:rsidR="00413AE0" w:rsidRPr="00CE588D" w:rsidRDefault="00413AE0" w:rsidP="00413AE0">
            <w:pPr>
              <w:jc w:val="center"/>
              <w:rPr>
                <w:rFonts w:cs="Segoe UI"/>
              </w:rPr>
            </w:pPr>
            <w:r w:rsidRPr="00CE588D">
              <w:rPr>
                <w:rFonts w:asciiTheme="minorHAnsi" w:cs="Segoe UI"/>
                <w:color w:val="000000"/>
                <w:kern w:val="24"/>
              </w:rPr>
              <w:t>Monolith 115 kV Substation Upgrades</w:t>
            </w:r>
          </w:p>
        </w:tc>
        <w:tc>
          <w:tcPr>
            <w:tcW w:w="605" w:type="pct"/>
            <w:vAlign w:val="center"/>
          </w:tcPr>
          <w:p w14:paraId="5109A679" w14:textId="6FDB7474" w:rsidR="00413AE0" w:rsidRPr="00CE588D" w:rsidRDefault="00413AE0" w:rsidP="00413AE0">
            <w:pPr>
              <w:jc w:val="center"/>
              <w:rPr>
                <w:rFonts w:cs="Segoe UI"/>
              </w:rPr>
            </w:pPr>
            <w:r w:rsidRPr="00CE588D">
              <w:rPr>
                <w:rFonts w:asciiTheme="minorHAnsi" w:cs="Segoe UI"/>
                <w:color w:val="000000"/>
                <w:kern w:val="24"/>
              </w:rPr>
              <w:t>DPA-2016-December-703</w:t>
            </w:r>
          </w:p>
        </w:tc>
        <w:tc>
          <w:tcPr>
            <w:tcW w:w="477" w:type="pct"/>
            <w:noWrap/>
            <w:vAlign w:val="center"/>
          </w:tcPr>
          <w:p w14:paraId="7A4461FF" w14:textId="510F8AFD" w:rsidR="00413AE0" w:rsidRPr="00CE588D" w:rsidRDefault="00413AE0" w:rsidP="00413AE0">
            <w:pPr>
              <w:jc w:val="center"/>
              <w:rPr>
                <w:rFonts w:cs="Segoe UI"/>
              </w:rPr>
            </w:pPr>
            <w:r w:rsidRPr="00CE588D">
              <w:rPr>
                <w:rFonts w:asciiTheme="minorHAnsi" w:cs="Segoe UI"/>
                <w:color w:val="000000"/>
                <w:kern w:val="24"/>
              </w:rPr>
              <w:t>1/1/2026</w:t>
            </w:r>
          </w:p>
        </w:tc>
        <w:tc>
          <w:tcPr>
            <w:tcW w:w="446" w:type="pct"/>
            <w:noWrap/>
            <w:vAlign w:val="center"/>
          </w:tcPr>
          <w:p w14:paraId="2C705F03" w14:textId="5C53E7B2" w:rsidR="00413AE0" w:rsidRPr="00CE588D" w:rsidRDefault="00413AE0" w:rsidP="00413AE0">
            <w:pPr>
              <w:jc w:val="center"/>
              <w:rPr>
                <w:rFonts w:cs="Segoe UI"/>
              </w:rPr>
            </w:pPr>
            <w:r w:rsidRPr="00CE588D">
              <w:rPr>
                <w:rFonts w:asciiTheme="minorHAnsi" w:cs="Segoe UI"/>
                <w:color w:val="000000"/>
                <w:kern w:val="24"/>
              </w:rPr>
              <w:t>4/1/2020</w:t>
            </w:r>
          </w:p>
        </w:tc>
        <w:tc>
          <w:tcPr>
            <w:tcW w:w="383" w:type="pct"/>
            <w:noWrap/>
            <w:vAlign w:val="center"/>
          </w:tcPr>
          <w:p w14:paraId="6DF9B4CD" w14:textId="19EC8510" w:rsidR="00413AE0" w:rsidRPr="00CE588D" w:rsidRDefault="00413AE0" w:rsidP="00413AE0">
            <w:pPr>
              <w:jc w:val="center"/>
              <w:rPr>
                <w:rFonts w:cs="Segoe UI"/>
              </w:rPr>
            </w:pPr>
            <w:r w:rsidRPr="00CE588D">
              <w:rPr>
                <w:rFonts w:asciiTheme="minorHAnsi" w:cs="Segoe UI"/>
                <w:color w:val="2A363B" w:themeColor="text1"/>
                <w:kern w:val="24"/>
              </w:rPr>
              <w:t>6 years</w:t>
            </w:r>
          </w:p>
        </w:tc>
        <w:tc>
          <w:tcPr>
            <w:tcW w:w="446" w:type="pct"/>
            <w:vAlign w:val="center"/>
          </w:tcPr>
          <w:p w14:paraId="767BC851" w14:textId="21B971C9" w:rsidR="00413AE0" w:rsidRPr="00CE588D" w:rsidRDefault="00413AE0" w:rsidP="00413AE0">
            <w:pPr>
              <w:jc w:val="center"/>
              <w:rPr>
                <w:rFonts w:cs="Segoe UI"/>
              </w:rPr>
            </w:pPr>
            <w:r w:rsidRPr="00CE588D">
              <w:rPr>
                <w:rFonts w:asciiTheme="minorHAnsi" w:cs="Segoe UI"/>
                <w:color w:val="000000"/>
                <w:kern w:val="24"/>
              </w:rPr>
              <w:t>98%</w:t>
            </w:r>
          </w:p>
        </w:tc>
        <w:tc>
          <w:tcPr>
            <w:tcW w:w="734" w:type="pct"/>
            <w:vAlign w:val="center"/>
          </w:tcPr>
          <w:p w14:paraId="05C0D1DA" w14:textId="624EDD9F" w:rsidR="00413AE0" w:rsidRPr="00CE588D" w:rsidRDefault="00413AE0" w:rsidP="00CE588D">
            <w:pPr>
              <w:jc w:val="center"/>
              <w:rPr>
                <w:rFonts w:cs="Segoe UI"/>
              </w:rPr>
            </w:pPr>
            <w:r w:rsidRPr="00CE588D">
              <w:rPr>
                <w:rFonts w:asciiTheme="minorHAnsi" w:cs="Segoe UI"/>
                <w:color w:val="000000"/>
                <w:kern w:val="24"/>
              </w:rPr>
              <w:t>Material Procurement</w:t>
            </w:r>
          </w:p>
        </w:tc>
      </w:tr>
      <w:tr w:rsidR="00413AE0" w:rsidRPr="00E252A6" w14:paraId="5B24704F" w14:textId="77777777" w:rsidTr="00CE588D">
        <w:trPr>
          <w:trHeight w:val="647"/>
        </w:trPr>
        <w:tc>
          <w:tcPr>
            <w:tcW w:w="317" w:type="pct"/>
            <w:noWrap/>
            <w:vAlign w:val="center"/>
          </w:tcPr>
          <w:p w14:paraId="03835FF4" w14:textId="36A37353" w:rsidR="00413AE0" w:rsidRPr="00CE588D" w:rsidRDefault="00413AE0" w:rsidP="00413AE0">
            <w:pPr>
              <w:jc w:val="center"/>
              <w:rPr>
                <w:rFonts w:cs="Segoe UI"/>
              </w:rPr>
            </w:pPr>
            <w:r w:rsidRPr="00CE588D">
              <w:rPr>
                <w:rFonts w:asciiTheme="minorHAnsi" w:cs="Segoe UI"/>
                <w:color w:val="000000"/>
                <w:kern w:val="24"/>
              </w:rPr>
              <w:t>51254</w:t>
            </w:r>
          </w:p>
        </w:tc>
        <w:tc>
          <w:tcPr>
            <w:tcW w:w="381" w:type="pct"/>
            <w:noWrap/>
            <w:vAlign w:val="center"/>
          </w:tcPr>
          <w:p w14:paraId="6204D25B" w14:textId="104FD629" w:rsidR="00413AE0" w:rsidRPr="00CE588D" w:rsidRDefault="00413AE0" w:rsidP="00413AE0">
            <w:pPr>
              <w:jc w:val="center"/>
              <w:rPr>
                <w:rFonts w:cs="Segoe UI"/>
              </w:rPr>
            </w:pPr>
            <w:r w:rsidRPr="00CE588D">
              <w:rPr>
                <w:rFonts w:asciiTheme="minorHAnsi" w:cs="Segoe UI"/>
                <w:color w:val="000000"/>
                <w:kern w:val="24"/>
              </w:rPr>
              <w:t>71967</w:t>
            </w:r>
          </w:p>
        </w:tc>
        <w:tc>
          <w:tcPr>
            <w:tcW w:w="288" w:type="pct"/>
            <w:vAlign w:val="center"/>
          </w:tcPr>
          <w:p w14:paraId="1BCFC7F2" w14:textId="271247CA" w:rsidR="00413AE0" w:rsidRPr="00CE588D" w:rsidRDefault="00413AE0" w:rsidP="00413AE0">
            <w:pPr>
              <w:jc w:val="center"/>
              <w:rPr>
                <w:rFonts w:cs="Segoe UI"/>
              </w:rPr>
            </w:pPr>
            <w:r w:rsidRPr="00CE588D">
              <w:rPr>
                <w:rFonts w:asciiTheme="minorHAnsi" w:cs="Segoe UI"/>
                <w:color w:val="000000"/>
                <w:kern w:val="24"/>
              </w:rPr>
              <w:t>NPPD</w:t>
            </w:r>
          </w:p>
        </w:tc>
        <w:tc>
          <w:tcPr>
            <w:tcW w:w="923" w:type="pct"/>
            <w:vAlign w:val="center"/>
          </w:tcPr>
          <w:p w14:paraId="6E06C82B" w14:textId="014D0A5B" w:rsidR="00413AE0" w:rsidRPr="00CE588D" w:rsidRDefault="00413AE0" w:rsidP="00413AE0">
            <w:pPr>
              <w:jc w:val="center"/>
              <w:rPr>
                <w:rFonts w:cs="Segoe UI"/>
              </w:rPr>
            </w:pPr>
            <w:r w:rsidRPr="00CE588D">
              <w:rPr>
                <w:rFonts w:asciiTheme="minorHAnsi" w:cs="Segoe UI"/>
                <w:color w:val="000000"/>
                <w:kern w:val="24"/>
              </w:rPr>
              <w:t>Sheldon - Monolith 115 kV Ckt 1 New Line</w:t>
            </w:r>
          </w:p>
        </w:tc>
        <w:tc>
          <w:tcPr>
            <w:tcW w:w="605" w:type="pct"/>
            <w:vAlign w:val="center"/>
          </w:tcPr>
          <w:p w14:paraId="153A1508" w14:textId="3586D1C6" w:rsidR="00413AE0" w:rsidRPr="00CE588D" w:rsidRDefault="00413AE0" w:rsidP="00413AE0">
            <w:pPr>
              <w:jc w:val="center"/>
              <w:rPr>
                <w:rFonts w:cs="Segoe UI"/>
              </w:rPr>
            </w:pPr>
            <w:r w:rsidRPr="00CE588D">
              <w:rPr>
                <w:rFonts w:asciiTheme="minorHAnsi" w:cs="Segoe UI"/>
                <w:color w:val="000000"/>
                <w:kern w:val="24"/>
              </w:rPr>
              <w:t>DPA-2016-December-703</w:t>
            </w:r>
          </w:p>
        </w:tc>
        <w:tc>
          <w:tcPr>
            <w:tcW w:w="477" w:type="pct"/>
            <w:noWrap/>
            <w:vAlign w:val="center"/>
          </w:tcPr>
          <w:p w14:paraId="70458DAC" w14:textId="4854D9C4" w:rsidR="00413AE0" w:rsidRPr="00CE588D" w:rsidRDefault="00413AE0" w:rsidP="00413AE0">
            <w:pPr>
              <w:jc w:val="center"/>
              <w:rPr>
                <w:rFonts w:cs="Segoe UI"/>
              </w:rPr>
            </w:pPr>
            <w:r w:rsidRPr="00CE588D">
              <w:rPr>
                <w:rFonts w:asciiTheme="minorHAnsi" w:cs="Segoe UI"/>
                <w:color w:val="000000"/>
                <w:kern w:val="24"/>
              </w:rPr>
              <w:t>1/1/2026</w:t>
            </w:r>
          </w:p>
        </w:tc>
        <w:tc>
          <w:tcPr>
            <w:tcW w:w="446" w:type="pct"/>
            <w:noWrap/>
            <w:vAlign w:val="center"/>
          </w:tcPr>
          <w:p w14:paraId="37590169" w14:textId="11B4A46F" w:rsidR="00413AE0" w:rsidRPr="00CE588D" w:rsidRDefault="00413AE0" w:rsidP="00413AE0">
            <w:pPr>
              <w:jc w:val="center"/>
              <w:rPr>
                <w:rFonts w:cs="Segoe UI"/>
              </w:rPr>
            </w:pPr>
            <w:r w:rsidRPr="00CE588D">
              <w:rPr>
                <w:rFonts w:asciiTheme="minorHAnsi" w:cs="Segoe UI"/>
                <w:color w:val="000000"/>
                <w:kern w:val="24"/>
              </w:rPr>
              <w:t>4/1/2020</w:t>
            </w:r>
          </w:p>
        </w:tc>
        <w:tc>
          <w:tcPr>
            <w:tcW w:w="383" w:type="pct"/>
            <w:noWrap/>
            <w:vAlign w:val="center"/>
          </w:tcPr>
          <w:p w14:paraId="6C97F1C8" w14:textId="6EC4B5DE" w:rsidR="00413AE0" w:rsidRPr="00CE588D" w:rsidRDefault="00413AE0" w:rsidP="00413AE0">
            <w:pPr>
              <w:jc w:val="center"/>
              <w:rPr>
                <w:rFonts w:cs="Segoe UI"/>
              </w:rPr>
            </w:pPr>
            <w:r w:rsidRPr="00CE588D">
              <w:rPr>
                <w:rFonts w:asciiTheme="minorHAnsi" w:cs="Segoe UI"/>
                <w:color w:val="000000"/>
                <w:kern w:val="24"/>
              </w:rPr>
              <w:t>6 years</w:t>
            </w:r>
          </w:p>
        </w:tc>
        <w:tc>
          <w:tcPr>
            <w:tcW w:w="446" w:type="pct"/>
            <w:vAlign w:val="center"/>
          </w:tcPr>
          <w:p w14:paraId="1923C2A3" w14:textId="13B4AA23" w:rsidR="00413AE0" w:rsidRPr="00CE588D" w:rsidRDefault="00413AE0" w:rsidP="00413AE0">
            <w:pPr>
              <w:jc w:val="center"/>
              <w:rPr>
                <w:rFonts w:cs="Segoe UI"/>
              </w:rPr>
            </w:pPr>
            <w:r w:rsidRPr="00CE588D">
              <w:rPr>
                <w:rFonts w:asciiTheme="minorHAnsi" w:cs="Segoe UI"/>
                <w:color w:val="000000"/>
                <w:kern w:val="24"/>
              </w:rPr>
              <w:t>90%</w:t>
            </w:r>
          </w:p>
        </w:tc>
        <w:tc>
          <w:tcPr>
            <w:tcW w:w="734" w:type="pct"/>
            <w:vAlign w:val="center"/>
          </w:tcPr>
          <w:p w14:paraId="0BEE9706" w14:textId="4E41C68C" w:rsidR="00413AE0" w:rsidRPr="00CE588D" w:rsidRDefault="00413AE0" w:rsidP="00CE588D">
            <w:pPr>
              <w:jc w:val="center"/>
              <w:rPr>
                <w:rFonts w:cs="Segoe UI"/>
              </w:rPr>
            </w:pPr>
            <w:r w:rsidRPr="00CE588D">
              <w:rPr>
                <w:rFonts w:asciiTheme="minorHAnsi" w:cs="Segoe UI"/>
                <w:color w:val="000000"/>
                <w:kern w:val="24"/>
              </w:rPr>
              <w:t>Material Procurement</w:t>
            </w:r>
          </w:p>
        </w:tc>
      </w:tr>
      <w:tr w:rsidR="00413AE0" w:rsidRPr="00E252A6" w14:paraId="1BBABB3C" w14:textId="77777777" w:rsidTr="00CE588D">
        <w:trPr>
          <w:trHeight w:val="638"/>
        </w:trPr>
        <w:tc>
          <w:tcPr>
            <w:tcW w:w="317" w:type="pct"/>
            <w:noWrap/>
            <w:vAlign w:val="center"/>
          </w:tcPr>
          <w:p w14:paraId="1FF56A35" w14:textId="50197A84" w:rsidR="00413AE0" w:rsidRPr="00CE588D" w:rsidRDefault="00413AE0" w:rsidP="00413AE0">
            <w:pPr>
              <w:jc w:val="center"/>
              <w:rPr>
                <w:rFonts w:cs="Segoe UI"/>
              </w:rPr>
            </w:pPr>
            <w:r w:rsidRPr="00CE588D">
              <w:rPr>
                <w:rFonts w:asciiTheme="minorHAnsi" w:cs="Segoe UI"/>
                <w:color w:val="000000"/>
                <w:kern w:val="24"/>
              </w:rPr>
              <w:t>92211</w:t>
            </w:r>
          </w:p>
        </w:tc>
        <w:tc>
          <w:tcPr>
            <w:tcW w:w="381" w:type="pct"/>
            <w:noWrap/>
            <w:vAlign w:val="center"/>
          </w:tcPr>
          <w:p w14:paraId="24F82F20" w14:textId="07745F1F" w:rsidR="00413AE0" w:rsidRPr="00CE588D" w:rsidRDefault="00413AE0" w:rsidP="00413AE0">
            <w:pPr>
              <w:jc w:val="center"/>
              <w:rPr>
                <w:rFonts w:cs="Segoe UI"/>
              </w:rPr>
            </w:pPr>
            <w:r w:rsidRPr="00CE588D">
              <w:rPr>
                <w:rFonts w:asciiTheme="minorHAnsi" w:cs="Segoe UI"/>
                <w:color w:val="000000"/>
                <w:kern w:val="24"/>
              </w:rPr>
              <w:t>144199</w:t>
            </w:r>
          </w:p>
        </w:tc>
        <w:tc>
          <w:tcPr>
            <w:tcW w:w="288" w:type="pct"/>
            <w:vAlign w:val="center"/>
          </w:tcPr>
          <w:p w14:paraId="4A992553" w14:textId="26A64EC0" w:rsidR="00413AE0" w:rsidRPr="00CE588D" w:rsidRDefault="00413AE0" w:rsidP="00413AE0">
            <w:pPr>
              <w:jc w:val="center"/>
              <w:rPr>
                <w:rFonts w:cs="Segoe UI"/>
              </w:rPr>
            </w:pPr>
            <w:r w:rsidRPr="00CE588D">
              <w:rPr>
                <w:rFonts w:asciiTheme="minorHAnsi" w:cs="Segoe UI"/>
                <w:color w:val="000000"/>
                <w:kern w:val="24"/>
              </w:rPr>
              <w:t>MWE</w:t>
            </w:r>
          </w:p>
        </w:tc>
        <w:tc>
          <w:tcPr>
            <w:tcW w:w="923" w:type="pct"/>
            <w:vAlign w:val="center"/>
          </w:tcPr>
          <w:p w14:paraId="6034971F" w14:textId="77A6C34D" w:rsidR="00413AE0" w:rsidRPr="00CE588D" w:rsidRDefault="00413AE0" w:rsidP="00413AE0">
            <w:pPr>
              <w:jc w:val="center"/>
              <w:rPr>
                <w:rFonts w:cs="Segoe UI"/>
              </w:rPr>
            </w:pPr>
            <w:r w:rsidRPr="00CE588D">
              <w:rPr>
                <w:rFonts w:asciiTheme="minorHAnsi" w:cs="Segoe UI"/>
                <w:color w:val="000000"/>
                <w:kern w:val="24"/>
              </w:rPr>
              <w:t>East Fork 115 kV Terminal Equipment</w:t>
            </w:r>
          </w:p>
        </w:tc>
        <w:tc>
          <w:tcPr>
            <w:tcW w:w="605" w:type="pct"/>
            <w:vAlign w:val="center"/>
          </w:tcPr>
          <w:p w14:paraId="5C965873" w14:textId="24E9C6E4" w:rsidR="00413AE0" w:rsidRPr="00CE588D" w:rsidRDefault="00413AE0" w:rsidP="00413AE0">
            <w:pPr>
              <w:jc w:val="center"/>
              <w:rPr>
                <w:rFonts w:cs="Segoe UI"/>
              </w:rPr>
            </w:pPr>
            <w:r w:rsidRPr="00CE588D">
              <w:rPr>
                <w:rFonts w:asciiTheme="minorHAnsi" w:cs="Segoe UI"/>
                <w:color w:val="000000"/>
                <w:kern w:val="24"/>
              </w:rPr>
              <w:t>2021 ITP</w:t>
            </w:r>
          </w:p>
        </w:tc>
        <w:tc>
          <w:tcPr>
            <w:tcW w:w="477" w:type="pct"/>
            <w:noWrap/>
            <w:vAlign w:val="center"/>
          </w:tcPr>
          <w:p w14:paraId="0ECC2BF7" w14:textId="3CE1BD1A" w:rsidR="00413AE0" w:rsidRPr="00CE588D" w:rsidRDefault="00413AE0" w:rsidP="00413AE0">
            <w:pPr>
              <w:jc w:val="center"/>
              <w:rPr>
                <w:rFonts w:cs="Segoe UI"/>
              </w:rPr>
            </w:pPr>
            <w:r w:rsidRPr="00CE588D">
              <w:rPr>
                <w:rFonts w:asciiTheme="minorHAnsi" w:cs="Segoe UI"/>
                <w:color w:val="000000"/>
                <w:kern w:val="24"/>
              </w:rPr>
              <w:t>3/31/2026</w:t>
            </w:r>
          </w:p>
        </w:tc>
        <w:tc>
          <w:tcPr>
            <w:tcW w:w="446" w:type="pct"/>
            <w:noWrap/>
            <w:vAlign w:val="center"/>
          </w:tcPr>
          <w:p w14:paraId="49BF63B1" w14:textId="66A95A8A" w:rsidR="00413AE0" w:rsidRPr="00CE588D" w:rsidRDefault="00413AE0" w:rsidP="00413AE0">
            <w:pPr>
              <w:jc w:val="center"/>
              <w:rPr>
                <w:rFonts w:cs="Segoe UI"/>
              </w:rPr>
            </w:pPr>
            <w:r w:rsidRPr="00CE588D">
              <w:rPr>
                <w:rFonts w:asciiTheme="minorHAnsi" w:cs="Segoe UI"/>
                <w:color w:val="000000"/>
                <w:kern w:val="24"/>
              </w:rPr>
              <w:t>12/1/2024</w:t>
            </w:r>
          </w:p>
        </w:tc>
        <w:tc>
          <w:tcPr>
            <w:tcW w:w="383" w:type="pct"/>
            <w:noWrap/>
            <w:vAlign w:val="center"/>
          </w:tcPr>
          <w:p w14:paraId="4E6069A6" w14:textId="3E853590" w:rsidR="00413AE0" w:rsidRPr="00CE588D" w:rsidRDefault="00413AE0" w:rsidP="00413AE0">
            <w:pPr>
              <w:jc w:val="center"/>
              <w:rPr>
                <w:rFonts w:cs="Segoe UI"/>
              </w:rPr>
            </w:pPr>
            <w:r w:rsidRPr="00CE588D">
              <w:rPr>
                <w:rFonts w:asciiTheme="minorHAnsi" w:cs="Segoe UI"/>
                <w:color w:val="000000"/>
                <w:kern w:val="24"/>
              </w:rPr>
              <w:t>1 year</w:t>
            </w:r>
          </w:p>
        </w:tc>
        <w:tc>
          <w:tcPr>
            <w:tcW w:w="446" w:type="pct"/>
            <w:vAlign w:val="center"/>
          </w:tcPr>
          <w:p w14:paraId="1D9AB723" w14:textId="675C50F8" w:rsidR="00413AE0" w:rsidRPr="00CE588D" w:rsidRDefault="00413AE0" w:rsidP="00413AE0">
            <w:pPr>
              <w:jc w:val="center"/>
              <w:rPr>
                <w:rFonts w:cs="Segoe UI"/>
              </w:rPr>
            </w:pPr>
            <w:r w:rsidRPr="00CE588D">
              <w:rPr>
                <w:rFonts w:asciiTheme="minorHAnsi" w:cs="Segoe UI"/>
                <w:color w:val="000000"/>
                <w:kern w:val="24"/>
              </w:rPr>
              <w:t>99%</w:t>
            </w:r>
            <w:r w:rsidR="00CE588D" w:rsidRPr="00CE588D">
              <w:rPr>
                <w:rFonts w:asciiTheme="minorHAnsi" w:hAnsiTheme="minorHAnsi" w:cs="Segoe UI"/>
                <w:color w:val="000000"/>
                <w:kern w:val="24"/>
                <w:vertAlign w:val="superscript"/>
              </w:rPr>
              <w:t>4</w:t>
            </w:r>
          </w:p>
        </w:tc>
        <w:tc>
          <w:tcPr>
            <w:tcW w:w="734" w:type="pct"/>
            <w:vAlign w:val="center"/>
          </w:tcPr>
          <w:p w14:paraId="53707163" w14:textId="4D745A10" w:rsidR="00413AE0" w:rsidRPr="00CE588D" w:rsidRDefault="00413AE0" w:rsidP="00CE588D">
            <w:pPr>
              <w:jc w:val="center"/>
              <w:rPr>
                <w:rFonts w:cs="Segoe UI"/>
              </w:rPr>
            </w:pPr>
            <w:r w:rsidRPr="00CE588D">
              <w:rPr>
                <w:rFonts w:asciiTheme="minorHAnsi" w:cs="Segoe UI"/>
                <w:color w:val="000000"/>
                <w:kern w:val="24"/>
              </w:rPr>
              <w:t>Project Sequence</w:t>
            </w:r>
          </w:p>
        </w:tc>
      </w:tr>
      <w:tr w:rsidR="00413AE0" w:rsidRPr="00E252A6" w14:paraId="4B4A6F3E" w14:textId="77777777" w:rsidTr="00413AE0">
        <w:trPr>
          <w:trHeight w:val="890"/>
        </w:trPr>
        <w:tc>
          <w:tcPr>
            <w:tcW w:w="317" w:type="pct"/>
            <w:noWrap/>
            <w:vAlign w:val="center"/>
          </w:tcPr>
          <w:p w14:paraId="65AD9F39" w14:textId="11B38FE0" w:rsidR="00413AE0" w:rsidRPr="00CE588D" w:rsidRDefault="00413AE0" w:rsidP="00413AE0">
            <w:pPr>
              <w:jc w:val="center"/>
              <w:rPr>
                <w:rFonts w:cs="Segoe UI"/>
              </w:rPr>
            </w:pPr>
            <w:r w:rsidRPr="00CE588D">
              <w:rPr>
                <w:rFonts w:asciiTheme="minorHAnsi" w:cs="Segoe UI"/>
                <w:color w:val="000000"/>
                <w:kern w:val="24"/>
              </w:rPr>
              <w:t>92268</w:t>
            </w:r>
          </w:p>
        </w:tc>
        <w:tc>
          <w:tcPr>
            <w:tcW w:w="381" w:type="pct"/>
            <w:noWrap/>
            <w:vAlign w:val="center"/>
          </w:tcPr>
          <w:p w14:paraId="50C230E9" w14:textId="01886D86" w:rsidR="00413AE0" w:rsidRPr="00CE588D" w:rsidRDefault="00413AE0" w:rsidP="00413AE0">
            <w:pPr>
              <w:jc w:val="center"/>
              <w:rPr>
                <w:rFonts w:cs="Segoe UI"/>
              </w:rPr>
            </w:pPr>
            <w:r w:rsidRPr="00CE588D">
              <w:rPr>
                <w:rFonts w:asciiTheme="minorHAnsi" w:cs="Segoe UI"/>
                <w:color w:val="000000"/>
                <w:kern w:val="24"/>
              </w:rPr>
              <w:t>144277</w:t>
            </w:r>
          </w:p>
        </w:tc>
        <w:tc>
          <w:tcPr>
            <w:tcW w:w="288" w:type="pct"/>
            <w:vAlign w:val="center"/>
          </w:tcPr>
          <w:p w14:paraId="69EC05FD" w14:textId="1586B315" w:rsidR="00413AE0" w:rsidRPr="00CE588D" w:rsidRDefault="00413AE0" w:rsidP="00413AE0">
            <w:pPr>
              <w:jc w:val="center"/>
              <w:rPr>
                <w:rFonts w:cs="Segoe UI"/>
              </w:rPr>
            </w:pPr>
            <w:r w:rsidRPr="00CE588D">
              <w:rPr>
                <w:rFonts w:asciiTheme="minorHAnsi" w:cs="Segoe UI"/>
                <w:color w:val="000000"/>
                <w:kern w:val="24"/>
              </w:rPr>
              <w:t>WFEC</w:t>
            </w:r>
          </w:p>
        </w:tc>
        <w:tc>
          <w:tcPr>
            <w:tcW w:w="923" w:type="pct"/>
            <w:vAlign w:val="center"/>
          </w:tcPr>
          <w:p w14:paraId="44DB475E" w14:textId="3353768E" w:rsidR="00413AE0" w:rsidRPr="00CE588D" w:rsidRDefault="00413AE0" w:rsidP="00413AE0">
            <w:pPr>
              <w:jc w:val="center"/>
              <w:rPr>
                <w:rFonts w:cs="Segoe UI"/>
              </w:rPr>
            </w:pPr>
            <w:r w:rsidRPr="00CE588D">
              <w:rPr>
                <w:rFonts w:asciiTheme="minorHAnsi" w:cs="Segoe UI"/>
                <w:color w:val="000000"/>
                <w:kern w:val="24"/>
              </w:rPr>
              <w:t>Bradly Tap 69 kV Cap Bank</w:t>
            </w:r>
          </w:p>
        </w:tc>
        <w:tc>
          <w:tcPr>
            <w:tcW w:w="605" w:type="pct"/>
            <w:vAlign w:val="center"/>
          </w:tcPr>
          <w:p w14:paraId="2B4DAA21" w14:textId="7A14E107" w:rsidR="00413AE0" w:rsidRPr="00CE588D" w:rsidRDefault="00413AE0" w:rsidP="00413AE0">
            <w:pPr>
              <w:jc w:val="center"/>
              <w:rPr>
                <w:rFonts w:cs="Segoe UI"/>
              </w:rPr>
            </w:pPr>
            <w:r w:rsidRPr="00CE588D">
              <w:rPr>
                <w:rFonts w:asciiTheme="minorHAnsi" w:cs="Segoe UI"/>
                <w:color w:val="000000"/>
                <w:kern w:val="24"/>
              </w:rPr>
              <w:t>DPA-2021-June-1332</w:t>
            </w:r>
          </w:p>
        </w:tc>
        <w:tc>
          <w:tcPr>
            <w:tcW w:w="477" w:type="pct"/>
            <w:noWrap/>
            <w:vAlign w:val="center"/>
          </w:tcPr>
          <w:p w14:paraId="5D848AAE" w14:textId="27F23D1E" w:rsidR="00413AE0" w:rsidRPr="00CE588D" w:rsidRDefault="00413AE0" w:rsidP="00413AE0">
            <w:pPr>
              <w:jc w:val="center"/>
              <w:rPr>
                <w:rFonts w:cs="Segoe UI"/>
              </w:rPr>
            </w:pPr>
            <w:r w:rsidRPr="00CE588D">
              <w:rPr>
                <w:rFonts w:asciiTheme="minorHAnsi" w:cs="Segoe UI"/>
                <w:color w:val="2A363B" w:themeColor="text1"/>
                <w:kern w:val="24"/>
              </w:rPr>
              <w:t>1/30/2026</w:t>
            </w:r>
          </w:p>
        </w:tc>
        <w:tc>
          <w:tcPr>
            <w:tcW w:w="446" w:type="pct"/>
            <w:noWrap/>
            <w:vAlign w:val="center"/>
          </w:tcPr>
          <w:p w14:paraId="40C9151F" w14:textId="3A95E346" w:rsidR="00413AE0" w:rsidRPr="00CE588D" w:rsidRDefault="00413AE0" w:rsidP="00413AE0">
            <w:pPr>
              <w:jc w:val="center"/>
              <w:rPr>
                <w:rFonts w:cs="Segoe UI"/>
              </w:rPr>
            </w:pPr>
            <w:r w:rsidRPr="00CE588D">
              <w:rPr>
                <w:rFonts w:asciiTheme="minorHAnsi" w:cs="Segoe UI"/>
                <w:color w:val="000000"/>
                <w:kern w:val="24"/>
              </w:rPr>
              <w:t>6/1/2023</w:t>
            </w:r>
          </w:p>
        </w:tc>
        <w:tc>
          <w:tcPr>
            <w:tcW w:w="383" w:type="pct"/>
            <w:noWrap/>
            <w:vAlign w:val="center"/>
          </w:tcPr>
          <w:p w14:paraId="7D3C0CEA" w14:textId="6C74B93F" w:rsidR="00413AE0" w:rsidRPr="00CE588D" w:rsidRDefault="00413AE0" w:rsidP="00413AE0">
            <w:pPr>
              <w:jc w:val="center"/>
              <w:rPr>
                <w:rFonts w:cs="Segoe UI"/>
              </w:rPr>
            </w:pPr>
            <w:r w:rsidRPr="00CE588D">
              <w:rPr>
                <w:rFonts w:asciiTheme="minorHAnsi" w:cs="Segoe UI"/>
                <w:color w:val="000000"/>
                <w:kern w:val="24"/>
              </w:rPr>
              <w:t>3 years</w:t>
            </w:r>
          </w:p>
        </w:tc>
        <w:tc>
          <w:tcPr>
            <w:tcW w:w="446" w:type="pct"/>
            <w:vAlign w:val="center"/>
          </w:tcPr>
          <w:p w14:paraId="3CB90F6E" w14:textId="2245F162" w:rsidR="00413AE0" w:rsidRPr="00CE588D" w:rsidRDefault="00413AE0" w:rsidP="00413AE0">
            <w:pPr>
              <w:jc w:val="center"/>
              <w:rPr>
                <w:rFonts w:cs="Segoe UI"/>
              </w:rPr>
            </w:pPr>
            <w:r w:rsidRPr="00CE588D">
              <w:rPr>
                <w:rFonts w:asciiTheme="minorHAnsi" w:cs="Segoe UI"/>
                <w:color w:val="000000"/>
                <w:kern w:val="24"/>
              </w:rPr>
              <w:t>80%</w:t>
            </w:r>
          </w:p>
        </w:tc>
        <w:tc>
          <w:tcPr>
            <w:tcW w:w="734" w:type="pct"/>
            <w:vAlign w:val="center"/>
          </w:tcPr>
          <w:p w14:paraId="2291B7F1" w14:textId="704A0162" w:rsidR="00413AE0" w:rsidRPr="00CE588D" w:rsidRDefault="00413AE0" w:rsidP="00CE588D">
            <w:pPr>
              <w:jc w:val="center"/>
              <w:rPr>
                <w:rFonts w:cs="Segoe UI"/>
              </w:rPr>
            </w:pPr>
            <w:r w:rsidRPr="00CE588D">
              <w:rPr>
                <w:rFonts w:asciiTheme="minorHAnsi" w:cs="Segoe UI"/>
                <w:color w:val="000000"/>
                <w:kern w:val="24"/>
              </w:rPr>
              <w:t>Material Procurement</w:t>
            </w:r>
          </w:p>
        </w:tc>
      </w:tr>
      <w:tr w:rsidR="00413AE0" w:rsidRPr="00E252A6" w14:paraId="59B76E80" w14:textId="77777777" w:rsidTr="00413AE0">
        <w:trPr>
          <w:trHeight w:val="890"/>
        </w:trPr>
        <w:tc>
          <w:tcPr>
            <w:tcW w:w="317" w:type="pct"/>
            <w:noWrap/>
            <w:vAlign w:val="center"/>
          </w:tcPr>
          <w:p w14:paraId="019A7D70" w14:textId="1A965D66" w:rsidR="00413AE0" w:rsidRPr="00CE588D" w:rsidRDefault="00413AE0" w:rsidP="00413AE0">
            <w:pPr>
              <w:jc w:val="center"/>
              <w:rPr>
                <w:rFonts w:cs="Segoe UI"/>
              </w:rPr>
            </w:pPr>
            <w:r w:rsidRPr="00CE588D">
              <w:rPr>
                <w:rFonts w:asciiTheme="minorHAnsi" w:cs="Segoe UI"/>
                <w:color w:val="000000"/>
                <w:kern w:val="24"/>
              </w:rPr>
              <w:lastRenderedPageBreak/>
              <w:t>92976</w:t>
            </w:r>
          </w:p>
        </w:tc>
        <w:tc>
          <w:tcPr>
            <w:tcW w:w="381" w:type="pct"/>
            <w:noWrap/>
            <w:vAlign w:val="center"/>
          </w:tcPr>
          <w:p w14:paraId="1ECAD1FC" w14:textId="62321B27" w:rsidR="00413AE0" w:rsidRPr="00CE588D" w:rsidRDefault="00413AE0" w:rsidP="00413AE0">
            <w:pPr>
              <w:jc w:val="center"/>
              <w:rPr>
                <w:rFonts w:cs="Segoe UI"/>
              </w:rPr>
            </w:pPr>
            <w:r w:rsidRPr="00CE588D">
              <w:rPr>
                <w:rFonts w:asciiTheme="minorHAnsi" w:cs="Segoe UI"/>
                <w:color w:val="000000"/>
                <w:kern w:val="24"/>
              </w:rPr>
              <w:t>157268</w:t>
            </w:r>
          </w:p>
        </w:tc>
        <w:tc>
          <w:tcPr>
            <w:tcW w:w="288" w:type="pct"/>
            <w:vAlign w:val="center"/>
          </w:tcPr>
          <w:p w14:paraId="2E6B8644" w14:textId="76D9F53F" w:rsidR="00413AE0" w:rsidRPr="00CE588D" w:rsidRDefault="00413AE0" w:rsidP="00413AE0">
            <w:pPr>
              <w:jc w:val="center"/>
              <w:rPr>
                <w:rFonts w:cs="Segoe UI"/>
              </w:rPr>
            </w:pPr>
            <w:r w:rsidRPr="00CE588D">
              <w:rPr>
                <w:rFonts w:asciiTheme="minorHAnsi" w:cs="Segoe UI"/>
                <w:color w:val="000000"/>
                <w:kern w:val="24"/>
              </w:rPr>
              <w:t>AEP</w:t>
            </w:r>
          </w:p>
        </w:tc>
        <w:tc>
          <w:tcPr>
            <w:tcW w:w="923" w:type="pct"/>
            <w:vAlign w:val="center"/>
          </w:tcPr>
          <w:p w14:paraId="65E66F09" w14:textId="48F7BC74" w:rsidR="00413AE0" w:rsidRPr="00CE588D" w:rsidRDefault="00413AE0" w:rsidP="00413AE0">
            <w:pPr>
              <w:jc w:val="center"/>
              <w:rPr>
                <w:rFonts w:cs="Segoe UI"/>
              </w:rPr>
            </w:pPr>
            <w:r w:rsidRPr="00CE588D">
              <w:rPr>
                <w:rFonts w:asciiTheme="minorHAnsi" w:cs="Segoe UI"/>
                <w:color w:val="000000"/>
                <w:kern w:val="24"/>
              </w:rPr>
              <w:t>Turk 138/115 kV Transformer Ckt 1 (138 kV)</w:t>
            </w:r>
          </w:p>
        </w:tc>
        <w:tc>
          <w:tcPr>
            <w:tcW w:w="605" w:type="pct"/>
            <w:vAlign w:val="center"/>
          </w:tcPr>
          <w:p w14:paraId="543EA457" w14:textId="696BF541" w:rsidR="00413AE0" w:rsidRPr="00CE588D" w:rsidRDefault="00413AE0" w:rsidP="00413AE0">
            <w:pPr>
              <w:jc w:val="center"/>
              <w:rPr>
                <w:rFonts w:cs="Segoe UI"/>
              </w:rPr>
            </w:pPr>
            <w:r w:rsidRPr="00CE588D">
              <w:rPr>
                <w:rFonts w:asciiTheme="minorHAnsi" w:cs="Segoe UI"/>
                <w:color w:val="000000"/>
                <w:kern w:val="24"/>
              </w:rPr>
              <w:t>2023 ITP</w:t>
            </w:r>
          </w:p>
        </w:tc>
        <w:tc>
          <w:tcPr>
            <w:tcW w:w="477" w:type="pct"/>
            <w:noWrap/>
            <w:vAlign w:val="center"/>
          </w:tcPr>
          <w:p w14:paraId="02338DB4" w14:textId="14C2A4E3" w:rsidR="00413AE0" w:rsidRPr="00CE588D" w:rsidRDefault="00413AE0" w:rsidP="00413AE0">
            <w:pPr>
              <w:jc w:val="center"/>
              <w:rPr>
                <w:rFonts w:cs="Segoe UI"/>
              </w:rPr>
            </w:pPr>
            <w:r w:rsidRPr="00CE588D">
              <w:rPr>
                <w:rFonts w:asciiTheme="minorHAnsi" w:cs="Segoe UI"/>
                <w:color w:val="000000"/>
                <w:kern w:val="24"/>
              </w:rPr>
              <w:t>4/25/2027</w:t>
            </w:r>
          </w:p>
        </w:tc>
        <w:tc>
          <w:tcPr>
            <w:tcW w:w="446" w:type="pct"/>
            <w:noWrap/>
            <w:vAlign w:val="center"/>
          </w:tcPr>
          <w:p w14:paraId="0ECFDBAE" w14:textId="4A0002C5" w:rsidR="00413AE0" w:rsidRPr="00CE588D" w:rsidRDefault="00413AE0" w:rsidP="00413AE0">
            <w:pPr>
              <w:jc w:val="center"/>
              <w:rPr>
                <w:rFonts w:cs="Segoe UI"/>
              </w:rPr>
            </w:pPr>
            <w:r w:rsidRPr="00CE588D">
              <w:rPr>
                <w:rFonts w:asciiTheme="minorHAnsi" w:cs="Segoe UI"/>
                <w:color w:val="000000"/>
                <w:kern w:val="24"/>
              </w:rPr>
              <w:t>3/1/2026</w:t>
            </w:r>
          </w:p>
        </w:tc>
        <w:tc>
          <w:tcPr>
            <w:tcW w:w="383" w:type="pct"/>
            <w:noWrap/>
            <w:vAlign w:val="center"/>
          </w:tcPr>
          <w:p w14:paraId="572B58E9" w14:textId="5C7B436F" w:rsidR="00413AE0" w:rsidRPr="00CE588D" w:rsidRDefault="00413AE0" w:rsidP="00413AE0">
            <w:pPr>
              <w:jc w:val="center"/>
              <w:rPr>
                <w:rFonts w:cs="Segoe UI"/>
              </w:rPr>
            </w:pPr>
            <w:r w:rsidRPr="00CE588D">
              <w:rPr>
                <w:rFonts w:asciiTheme="minorHAnsi" w:cs="Segoe UI"/>
                <w:color w:val="2A363B" w:themeColor="text1"/>
                <w:kern w:val="24"/>
              </w:rPr>
              <w:t>1 year</w:t>
            </w:r>
          </w:p>
        </w:tc>
        <w:tc>
          <w:tcPr>
            <w:tcW w:w="446" w:type="pct"/>
            <w:vAlign w:val="center"/>
          </w:tcPr>
          <w:p w14:paraId="2CB405A9" w14:textId="73F90FAE" w:rsidR="00413AE0" w:rsidRPr="00CE588D" w:rsidRDefault="00413AE0" w:rsidP="00413AE0">
            <w:pPr>
              <w:jc w:val="center"/>
              <w:rPr>
                <w:rFonts w:cs="Segoe UI"/>
              </w:rPr>
            </w:pPr>
            <w:r w:rsidRPr="00CE588D">
              <w:rPr>
                <w:rFonts w:asciiTheme="minorHAnsi" w:cs="Segoe UI"/>
                <w:kern w:val="24"/>
              </w:rPr>
              <w:t>15%</w:t>
            </w:r>
          </w:p>
        </w:tc>
        <w:tc>
          <w:tcPr>
            <w:tcW w:w="734" w:type="pct"/>
            <w:vAlign w:val="center"/>
          </w:tcPr>
          <w:p w14:paraId="1149DD31" w14:textId="34DB76D4" w:rsidR="00413AE0" w:rsidRPr="00CE588D" w:rsidRDefault="00413AE0" w:rsidP="00CE588D">
            <w:pPr>
              <w:jc w:val="center"/>
              <w:rPr>
                <w:rFonts w:cs="Segoe UI"/>
              </w:rPr>
            </w:pPr>
            <w:r w:rsidRPr="00CE588D">
              <w:rPr>
                <w:rFonts w:asciiTheme="minorHAnsi" w:cs="Segoe UI"/>
                <w:kern w:val="24"/>
              </w:rPr>
              <w:t>Material Procurement</w:t>
            </w:r>
          </w:p>
        </w:tc>
      </w:tr>
    </w:tbl>
    <w:p w14:paraId="0A7CA186" w14:textId="08A272C3" w:rsidR="001276B4" w:rsidRPr="00217462" w:rsidRDefault="001276B4" w:rsidP="00CE588D">
      <w:pPr>
        <w:spacing w:after="0"/>
        <w:rPr>
          <w:rFonts w:cs="Segoe UI"/>
        </w:rPr>
      </w:pPr>
    </w:p>
    <w:sectPr w:rsidR="001276B4" w:rsidRPr="00217462" w:rsidSect="00217462">
      <w:pgSz w:w="15840" w:h="12240" w:orient="landscape"/>
      <w:pgMar w:top="1440" w:right="1080" w:bottom="1440" w:left="144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98D5" w14:textId="77777777" w:rsidR="008636B3" w:rsidRDefault="008636B3" w:rsidP="009A533B">
      <w:r>
        <w:separator/>
      </w:r>
    </w:p>
  </w:endnote>
  <w:endnote w:type="continuationSeparator" w:id="0">
    <w:p w14:paraId="7C7BFA93" w14:textId="77777777" w:rsidR="008636B3" w:rsidRDefault="008636B3" w:rsidP="009A533B">
      <w:r>
        <w:continuationSeparator/>
      </w:r>
    </w:p>
  </w:endnote>
  <w:endnote w:type="continuationNotice" w:id="1">
    <w:p w14:paraId="75101E35" w14:textId="77777777" w:rsidR="008636B3" w:rsidRDefault="008636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57F8" w14:textId="4CC87749" w:rsidR="002B7C83" w:rsidRDefault="002B7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FA7E" w14:textId="4B652251" w:rsidR="00413D5D" w:rsidRPr="00BE344A" w:rsidRDefault="00413D5D" w:rsidP="00EA69EB">
    <w:pPr>
      <w:pStyle w:val="Footer"/>
      <w:ind w:left="-540"/>
    </w:pPr>
    <w:r w:rsidRPr="00BE344A">
      <w:tab/>
    </w:r>
    <w:r w:rsidRPr="00BE344A">
      <w:tab/>
    </w:r>
    <w:r w:rsidRPr="00BE344A">
      <w:fldChar w:fldCharType="begin"/>
    </w:r>
    <w:r w:rsidRPr="00BE344A">
      <w:instrText xml:space="preserve"> PAGE   \* MERGEFORMAT </w:instrText>
    </w:r>
    <w:r w:rsidRPr="00BE344A">
      <w:fldChar w:fldCharType="separate"/>
    </w:r>
    <w:r w:rsidR="00CF4C98">
      <w:rPr>
        <w:noProof/>
      </w:rPr>
      <w:t>2</w:t>
    </w:r>
    <w:r w:rsidRPr="00BE344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4A4F" w14:textId="4E42D5E7" w:rsidR="002B7C83" w:rsidRDefault="002B7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3707" w14:textId="77777777" w:rsidR="008636B3" w:rsidRDefault="008636B3" w:rsidP="009A533B">
      <w:r>
        <w:separator/>
      </w:r>
    </w:p>
  </w:footnote>
  <w:footnote w:type="continuationSeparator" w:id="0">
    <w:p w14:paraId="78329C7A" w14:textId="77777777" w:rsidR="008636B3" w:rsidRDefault="008636B3" w:rsidP="009A533B">
      <w:r>
        <w:continuationSeparator/>
      </w:r>
    </w:p>
  </w:footnote>
  <w:footnote w:type="continuationNotice" w:id="1">
    <w:p w14:paraId="392260EE" w14:textId="77777777" w:rsidR="008636B3" w:rsidRDefault="008636B3">
      <w:pPr>
        <w:spacing w:after="0"/>
      </w:pPr>
    </w:p>
  </w:footnote>
  <w:footnote w:id="2">
    <w:p w14:paraId="65FEFF3A" w14:textId="7B2288A2" w:rsidR="004B0DA7" w:rsidRDefault="004B0DA7" w:rsidP="00E927CE">
      <w:pPr>
        <w:pStyle w:val="FootnoteText"/>
      </w:pPr>
      <w:r>
        <w:rPr>
          <w:rStyle w:val="FootnoteReference"/>
        </w:rPr>
        <w:footnoteRef/>
      </w:r>
      <w:r>
        <w:t xml:space="preserve"> </w:t>
      </w:r>
      <w:r w:rsidRPr="00BA0AAF">
        <w:rPr>
          <w:rFonts w:cs="Segoe UI"/>
        </w:rPr>
        <w:t xml:space="preserve">Designated </w:t>
      </w:r>
      <w:r w:rsidR="00CE588D">
        <w:rPr>
          <w:rFonts w:cs="Segoe UI"/>
        </w:rPr>
        <w:t>t</w:t>
      </w:r>
      <w:r w:rsidRPr="00BA0AAF">
        <w:rPr>
          <w:rFonts w:cs="Segoe UI"/>
        </w:rPr>
        <w:t xml:space="preserve">ransmission </w:t>
      </w:r>
      <w:r w:rsidR="00CE588D">
        <w:rPr>
          <w:rFonts w:cs="Segoe UI"/>
        </w:rPr>
        <w:t>o</w:t>
      </w:r>
      <w:r w:rsidRPr="00BA0AAF">
        <w:rPr>
          <w:rFonts w:cs="Segoe UI"/>
        </w:rPr>
        <w:t xml:space="preserve">wner reviews/updates as part of the </w:t>
      </w:r>
      <w:r w:rsidR="00CE588D">
        <w:rPr>
          <w:rFonts w:cs="Segoe UI"/>
        </w:rPr>
        <w:t>quarterly p</w:t>
      </w:r>
      <w:r w:rsidRPr="00BA0AAF">
        <w:rPr>
          <w:rFonts w:cs="Segoe UI"/>
        </w:rPr>
        <w:t xml:space="preserve">roject </w:t>
      </w:r>
      <w:r w:rsidR="00CE588D">
        <w:rPr>
          <w:rFonts w:cs="Segoe UI"/>
        </w:rPr>
        <w:t>t</w:t>
      </w:r>
      <w:r w:rsidRPr="00BA0AAF">
        <w:rPr>
          <w:rFonts w:cs="Segoe UI"/>
        </w:rPr>
        <w:t xml:space="preserve">racking </w:t>
      </w:r>
      <w:r w:rsidR="00CE588D">
        <w:rPr>
          <w:rFonts w:cs="Segoe UI"/>
        </w:rPr>
        <w:t>p</w:t>
      </w:r>
      <w:r w:rsidRPr="00BA0AAF">
        <w:rPr>
          <w:rFonts w:cs="Segoe UI"/>
        </w:rPr>
        <w:t>rocess</w:t>
      </w:r>
    </w:p>
  </w:footnote>
  <w:footnote w:id="3">
    <w:p w14:paraId="02924B96" w14:textId="0A12D1CC" w:rsidR="004B0DA7" w:rsidRDefault="004B0DA7" w:rsidP="00E927CE">
      <w:pPr>
        <w:pStyle w:val="FootnoteText"/>
      </w:pPr>
      <w:r>
        <w:rPr>
          <w:rStyle w:val="FootnoteReference"/>
        </w:rPr>
        <w:footnoteRef/>
      </w:r>
      <w:r>
        <w:t xml:space="preserve"> </w:t>
      </w:r>
      <w:r w:rsidRPr="00BA0AAF">
        <w:rPr>
          <w:rFonts w:cs="Segoe UI"/>
        </w:rPr>
        <w:t xml:space="preserve">Estimated In-Service Date submitted as part of the </w:t>
      </w:r>
      <w:r w:rsidR="00CE588D">
        <w:rPr>
          <w:rFonts w:cs="Segoe UI"/>
        </w:rPr>
        <w:t>d</w:t>
      </w:r>
      <w:r w:rsidRPr="00BA0AAF">
        <w:rPr>
          <w:rFonts w:cs="Segoe UI"/>
        </w:rPr>
        <w:t xml:space="preserve">esignated </w:t>
      </w:r>
      <w:r w:rsidR="00CE588D">
        <w:rPr>
          <w:rFonts w:cs="Segoe UI"/>
        </w:rPr>
        <w:t>t</w:t>
      </w:r>
      <w:r w:rsidRPr="00BA0AAF">
        <w:rPr>
          <w:rFonts w:cs="Segoe UI"/>
        </w:rPr>
        <w:t xml:space="preserve">ransmission </w:t>
      </w:r>
      <w:r w:rsidR="00CE588D">
        <w:rPr>
          <w:rFonts w:cs="Segoe UI"/>
        </w:rPr>
        <w:t>o</w:t>
      </w:r>
      <w:r w:rsidRPr="00BA0AAF">
        <w:rPr>
          <w:rFonts w:cs="Segoe UI"/>
        </w:rPr>
        <w:t>wner</w:t>
      </w:r>
      <w:r w:rsidR="00CE588D">
        <w:rPr>
          <w:rFonts w:cs="Segoe UI"/>
        </w:rPr>
        <w:t>’</w:t>
      </w:r>
      <w:r w:rsidRPr="00BA0AAF">
        <w:rPr>
          <w:rFonts w:cs="Segoe UI"/>
        </w:rPr>
        <w:t xml:space="preserve">s NTC </w:t>
      </w:r>
      <w:r w:rsidR="00CE588D">
        <w:rPr>
          <w:rFonts w:cs="Segoe UI"/>
        </w:rPr>
        <w:t>c</w:t>
      </w:r>
      <w:r w:rsidRPr="00BA0AAF">
        <w:rPr>
          <w:rFonts w:cs="Segoe UI"/>
        </w:rPr>
        <w:t>ommitment</w:t>
      </w:r>
    </w:p>
  </w:footnote>
  <w:footnote w:id="4">
    <w:p w14:paraId="416A621B" w14:textId="12C5DA2D" w:rsidR="004B0DA7" w:rsidRDefault="004B0DA7" w:rsidP="00E927CE">
      <w:pPr>
        <w:pStyle w:val="FootnoteText"/>
        <w:rPr>
          <w:rFonts w:cs="Segoe UI"/>
        </w:rPr>
      </w:pPr>
      <w:r>
        <w:rPr>
          <w:rStyle w:val="FootnoteReference"/>
        </w:rPr>
        <w:footnoteRef/>
      </w:r>
      <w:r>
        <w:t xml:space="preserve"> </w:t>
      </w:r>
      <w:r w:rsidRPr="00BA0AAF">
        <w:rPr>
          <w:rFonts w:cs="Segoe UI"/>
        </w:rPr>
        <w:t>F</w:t>
      </w:r>
      <w:r>
        <w:rPr>
          <w:rFonts w:cs="Segoe UI"/>
        </w:rPr>
        <w:t xml:space="preserve">irst </w:t>
      </w:r>
      <w:r w:rsidRPr="00BA0AAF">
        <w:rPr>
          <w:rFonts w:cs="Segoe UI"/>
        </w:rPr>
        <w:t>R</w:t>
      </w:r>
      <w:r>
        <w:rPr>
          <w:rFonts w:cs="Segoe UI"/>
        </w:rPr>
        <w:t xml:space="preserve">eported In-Service Date </w:t>
      </w:r>
      <w:r w:rsidRPr="00BA0AAF">
        <w:rPr>
          <w:rFonts w:cs="Segoe UI"/>
        </w:rPr>
        <w:t>minus</w:t>
      </w:r>
      <w:r>
        <w:rPr>
          <w:rFonts w:cs="Segoe UI"/>
        </w:rPr>
        <w:t xml:space="preserve"> </w:t>
      </w:r>
      <w:r w:rsidRPr="00BA0AAF">
        <w:rPr>
          <w:rFonts w:cs="Segoe UI"/>
        </w:rPr>
        <w:t>Project</w:t>
      </w:r>
      <w:r>
        <w:rPr>
          <w:rFonts w:cs="Segoe UI"/>
        </w:rPr>
        <w:t xml:space="preserve"> Owner Indicated In-Service Date</w:t>
      </w:r>
    </w:p>
    <w:p w14:paraId="0F5DDCAF" w14:textId="0F073CDB" w:rsidR="00CE588D" w:rsidRDefault="00CE588D" w:rsidP="00E927CE">
      <w:pPr>
        <w:pStyle w:val="FootnoteText"/>
      </w:pPr>
      <w:r w:rsidRPr="00CE588D">
        <w:rPr>
          <w:rFonts w:cs="Segoe UI"/>
          <w:vertAlign w:val="superscript"/>
        </w:rPr>
        <w:t>4</w:t>
      </w:r>
      <w:r>
        <w:rPr>
          <w:rFonts w:cs="Segoe UI"/>
        </w:rPr>
        <w:t xml:space="preserve"> Construction is complete; will be placed in service once Springbrook sub is energized 3/25/2026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E445" w14:textId="77777777" w:rsidR="00413D5D" w:rsidRDefault="00413D5D" w:rsidP="006B3A14">
    <w:pPr>
      <w:pStyle w:val="Header"/>
      <w:ind w:left="-108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8E8B" w14:textId="77777777" w:rsidR="006B3A14" w:rsidRDefault="006B3A14" w:rsidP="006B3A14">
    <w:pPr>
      <w:pStyle w:val="Header"/>
      <w:ind w:left="-810"/>
    </w:pPr>
    <w:r>
      <w:rPr>
        <w:noProof/>
      </w:rPr>
      <w:drawing>
        <wp:inline distT="0" distB="0" distL="0" distR="0" wp14:anchorId="6FF93B54" wp14:editId="4765E6FF">
          <wp:extent cx="1554480" cy="548640"/>
          <wp:effectExtent l="0" t="0" r="0" b="0"/>
          <wp:docPr id="2" name="Picture 2" descr="C:\Users\ekp0506\AppData\Local\Microsoft\Windows\INetCache\Content.Word\SPP-Logo-LOW-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ekp0506\AppData\Local\Microsoft\Windows\INetCache\Content.Word\SPP-Logo-LOW-R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05A"/>
    <w:multiLevelType w:val="hybridMultilevel"/>
    <w:tmpl w:val="9FDE7F96"/>
    <w:lvl w:ilvl="0" w:tplc="BD2AA84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79173B6"/>
    <w:multiLevelType w:val="hybridMultilevel"/>
    <w:tmpl w:val="2646A51E"/>
    <w:lvl w:ilvl="0" w:tplc="FC784E3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E7FC2"/>
    <w:multiLevelType w:val="hybridMultilevel"/>
    <w:tmpl w:val="6510A702"/>
    <w:lvl w:ilvl="0" w:tplc="037265B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0B3518F"/>
    <w:multiLevelType w:val="hybridMultilevel"/>
    <w:tmpl w:val="3B324CE4"/>
    <w:lvl w:ilvl="0" w:tplc="542695EC">
      <w:start w:val="1"/>
      <w:numFmt w:val="bullet"/>
      <w:lvlText w:val="•"/>
      <w:lvlJc w:val="left"/>
      <w:pPr>
        <w:tabs>
          <w:tab w:val="num" w:pos="360"/>
        </w:tabs>
        <w:ind w:left="360" w:hanging="360"/>
      </w:pPr>
      <w:rPr>
        <w:rFonts w:ascii="Arial" w:hAnsi="Arial" w:hint="default"/>
      </w:rPr>
    </w:lvl>
    <w:lvl w:ilvl="1" w:tplc="171AB00A" w:tentative="1">
      <w:start w:val="1"/>
      <w:numFmt w:val="bullet"/>
      <w:lvlText w:val="•"/>
      <w:lvlJc w:val="left"/>
      <w:pPr>
        <w:tabs>
          <w:tab w:val="num" w:pos="1080"/>
        </w:tabs>
        <w:ind w:left="1080" w:hanging="360"/>
      </w:pPr>
      <w:rPr>
        <w:rFonts w:ascii="Arial" w:hAnsi="Arial" w:hint="default"/>
      </w:rPr>
    </w:lvl>
    <w:lvl w:ilvl="2" w:tplc="FC10A074" w:tentative="1">
      <w:start w:val="1"/>
      <w:numFmt w:val="bullet"/>
      <w:lvlText w:val="•"/>
      <w:lvlJc w:val="left"/>
      <w:pPr>
        <w:tabs>
          <w:tab w:val="num" w:pos="1800"/>
        </w:tabs>
        <w:ind w:left="1800" w:hanging="360"/>
      </w:pPr>
      <w:rPr>
        <w:rFonts w:ascii="Arial" w:hAnsi="Arial" w:hint="default"/>
      </w:rPr>
    </w:lvl>
    <w:lvl w:ilvl="3" w:tplc="F3EC3234" w:tentative="1">
      <w:start w:val="1"/>
      <w:numFmt w:val="bullet"/>
      <w:lvlText w:val="•"/>
      <w:lvlJc w:val="left"/>
      <w:pPr>
        <w:tabs>
          <w:tab w:val="num" w:pos="2520"/>
        </w:tabs>
        <w:ind w:left="2520" w:hanging="360"/>
      </w:pPr>
      <w:rPr>
        <w:rFonts w:ascii="Arial" w:hAnsi="Arial" w:hint="default"/>
      </w:rPr>
    </w:lvl>
    <w:lvl w:ilvl="4" w:tplc="52D2DB0E" w:tentative="1">
      <w:start w:val="1"/>
      <w:numFmt w:val="bullet"/>
      <w:lvlText w:val="•"/>
      <w:lvlJc w:val="left"/>
      <w:pPr>
        <w:tabs>
          <w:tab w:val="num" w:pos="3240"/>
        </w:tabs>
        <w:ind w:left="3240" w:hanging="360"/>
      </w:pPr>
      <w:rPr>
        <w:rFonts w:ascii="Arial" w:hAnsi="Arial" w:hint="default"/>
      </w:rPr>
    </w:lvl>
    <w:lvl w:ilvl="5" w:tplc="65E8FEFC" w:tentative="1">
      <w:start w:val="1"/>
      <w:numFmt w:val="bullet"/>
      <w:lvlText w:val="•"/>
      <w:lvlJc w:val="left"/>
      <w:pPr>
        <w:tabs>
          <w:tab w:val="num" w:pos="3960"/>
        </w:tabs>
        <w:ind w:left="3960" w:hanging="360"/>
      </w:pPr>
      <w:rPr>
        <w:rFonts w:ascii="Arial" w:hAnsi="Arial" w:hint="default"/>
      </w:rPr>
    </w:lvl>
    <w:lvl w:ilvl="6" w:tplc="D872140C" w:tentative="1">
      <w:start w:val="1"/>
      <w:numFmt w:val="bullet"/>
      <w:lvlText w:val="•"/>
      <w:lvlJc w:val="left"/>
      <w:pPr>
        <w:tabs>
          <w:tab w:val="num" w:pos="4680"/>
        </w:tabs>
        <w:ind w:left="4680" w:hanging="360"/>
      </w:pPr>
      <w:rPr>
        <w:rFonts w:ascii="Arial" w:hAnsi="Arial" w:hint="default"/>
      </w:rPr>
    </w:lvl>
    <w:lvl w:ilvl="7" w:tplc="52B8F4F4" w:tentative="1">
      <w:start w:val="1"/>
      <w:numFmt w:val="bullet"/>
      <w:lvlText w:val="•"/>
      <w:lvlJc w:val="left"/>
      <w:pPr>
        <w:tabs>
          <w:tab w:val="num" w:pos="5400"/>
        </w:tabs>
        <w:ind w:left="5400" w:hanging="360"/>
      </w:pPr>
      <w:rPr>
        <w:rFonts w:ascii="Arial" w:hAnsi="Arial" w:hint="default"/>
      </w:rPr>
    </w:lvl>
    <w:lvl w:ilvl="8" w:tplc="D01C5F8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5BC7642"/>
    <w:multiLevelType w:val="hybridMultilevel"/>
    <w:tmpl w:val="45C042A0"/>
    <w:lvl w:ilvl="0" w:tplc="0DA24FB0">
      <w:start w:val="5"/>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9B69D9"/>
    <w:multiLevelType w:val="hybridMultilevel"/>
    <w:tmpl w:val="081C5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11066F"/>
    <w:multiLevelType w:val="hybridMultilevel"/>
    <w:tmpl w:val="2F7AA314"/>
    <w:lvl w:ilvl="0" w:tplc="AEC8CDCE">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90456"/>
    <w:multiLevelType w:val="hybridMultilevel"/>
    <w:tmpl w:val="FC6EA984"/>
    <w:lvl w:ilvl="0" w:tplc="DC7AF3E4">
      <w:start w:val="1"/>
      <w:numFmt w:val="bullet"/>
      <w:lvlText w:val="•"/>
      <w:lvlJc w:val="left"/>
      <w:pPr>
        <w:tabs>
          <w:tab w:val="num" w:pos="720"/>
        </w:tabs>
        <w:ind w:left="720" w:hanging="360"/>
      </w:pPr>
      <w:rPr>
        <w:rFonts w:ascii="Arial" w:hAnsi="Arial" w:hint="default"/>
      </w:rPr>
    </w:lvl>
    <w:lvl w:ilvl="1" w:tplc="35F0C8C8">
      <w:start w:val="1"/>
      <w:numFmt w:val="bullet"/>
      <w:lvlText w:val="•"/>
      <w:lvlJc w:val="left"/>
      <w:pPr>
        <w:tabs>
          <w:tab w:val="num" w:pos="1440"/>
        </w:tabs>
        <w:ind w:left="1440" w:hanging="360"/>
      </w:pPr>
      <w:rPr>
        <w:rFonts w:ascii="Arial" w:hAnsi="Arial" w:hint="default"/>
      </w:rPr>
    </w:lvl>
    <w:lvl w:ilvl="2" w:tplc="56264F96" w:tentative="1">
      <w:start w:val="1"/>
      <w:numFmt w:val="bullet"/>
      <w:lvlText w:val="•"/>
      <w:lvlJc w:val="left"/>
      <w:pPr>
        <w:tabs>
          <w:tab w:val="num" w:pos="2160"/>
        </w:tabs>
        <w:ind w:left="2160" w:hanging="360"/>
      </w:pPr>
      <w:rPr>
        <w:rFonts w:ascii="Arial" w:hAnsi="Arial" w:hint="default"/>
      </w:rPr>
    </w:lvl>
    <w:lvl w:ilvl="3" w:tplc="C13A565E" w:tentative="1">
      <w:start w:val="1"/>
      <w:numFmt w:val="bullet"/>
      <w:lvlText w:val="•"/>
      <w:lvlJc w:val="left"/>
      <w:pPr>
        <w:tabs>
          <w:tab w:val="num" w:pos="2880"/>
        </w:tabs>
        <w:ind w:left="2880" w:hanging="360"/>
      </w:pPr>
      <w:rPr>
        <w:rFonts w:ascii="Arial" w:hAnsi="Arial" w:hint="default"/>
      </w:rPr>
    </w:lvl>
    <w:lvl w:ilvl="4" w:tplc="DD7A1780" w:tentative="1">
      <w:start w:val="1"/>
      <w:numFmt w:val="bullet"/>
      <w:lvlText w:val="•"/>
      <w:lvlJc w:val="left"/>
      <w:pPr>
        <w:tabs>
          <w:tab w:val="num" w:pos="3600"/>
        </w:tabs>
        <w:ind w:left="3600" w:hanging="360"/>
      </w:pPr>
      <w:rPr>
        <w:rFonts w:ascii="Arial" w:hAnsi="Arial" w:hint="default"/>
      </w:rPr>
    </w:lvl>
    <w:lvl w:ilvl="5" w:tplc="054811FA" w:tentative="1">
      <w:start w:val="1"/>
      <w:numFmt w:val="bullet"/>
      <w:lvlText w:val="•"/>
      <w:lvlJc w:val="left"/>
      <w:pPr>
        <w:tabs>
          <w:tab w:val="num" w:pos="4320"/>
        </w:tabs>
        <w:ind w:left="4320" w:hanging="360"/>
      </w:pPr>
      <w:rPr>
        <w:rFonts w:ascii="Arial" w:hAnsi="Arial" w:hint="default"/>
      </w:rPr>
    </w:lvl>
    <w:lvl w:ilvl="6" w:tplc="13D2BED4" w:tentative="1">
      <w:start w:val="1"/>
      <w:numFmt w:val="bullet"/>
      <w:lvlText w:val="•"/>
      <w:lvlJc w:val="left"/>
      <w:pPr>
        <w:tabs>
          <w:tab w:val="num" w:pos="5040"/>
        </w:tabs>
        <w:ind w:left="5040" w:hanging="360"/>
      </w:pPr>
      <w:rPr>
        <w:rFonts w:ascii="Arial" w:hAnsi="Arial" w:hint="default"/>
      </w:rPr>
    </w:lvl>
    <w:lvl w:ilvl="7" w:tplc="47A28090" w:tentative="1">
      <w:start w:val="1"/>
      <w:numFmt w:val="bullet"/>
      <w:lvlText w:val="•"/>
      <w:lvlJc w:val="left"/>
      <w:pPr>
        <w:tabs>
          <w:tab w:val="num" w:pos="5760"/>
        </w:tabs>
        <w:ind w:left="5760" w:hanging="360"/>
      </w:pPr>
      <w:rPr>
        <w:rFonts w:ascii="Arial" w:hAnsi="Arial" w:hint="default"/>
      </w:rPr>
    </w:lvl>
    <w:lvl w:ilvl="8" w:tplc="BA526A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F57120"/>
    <w:multiLevelType w:val="hybridMultilevel"/>
    <w:tmpl w:val="4F969F48"/>
    <w:lvl w:ilvl="0" w:tplc="0DA24FB0">
      <w:start w:val="5"/>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9204F"/>
    <w:multiLevelType w:val="hybridMultilevel"/>
    <w:tmpl w:val="C348271C"/>
    <w:lvl w:ilvl="0" w:tplc="D908BEE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9EC7B8B"/>
    <w:multiLevelType w:val="hybridMultilevel"/>
    <w:tmpl w:val="A106E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0106DB"/>
    <w:multiLevelType w:val="hybridMultilevel"/>
    <w:tmpl w:val="F85476A4"/>
    <w:lvl w:ilvl="0" w:tplc="4F2CBA5C">
      <w:start w:val="1"/>
      <w:numFmt w:val="decimal"/>
      <w:lvlText w:val="%1."/>
      <w:lvlJc w:val="left"/>
      <w:pPr>
        <w:ind w:left="-90" w:hanging="360"/>
      </w:pPr>
      <w:rPr>
        <w:rFonts w:hint="default"/>
        <w:b/>
        <w:color w:val="2399BB" w:themeColor="accent2"/>
        <w:sz w:val="22"/>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333A738B"/>
    <w:multiLevelType w:val="hybridMultilevel"/>
    <w:tmpl w:val="B2FE2E42"/>
    <w:lvl w:ilvl="0" w:tplc="02AE0C2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F64F9"/>
    <w:multiLevelType w:val="hybridMultilevel"/>
    <w:tmpl w:val="FB720B8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35AA6F7F"/>
    <w:multiLevelType w:val="hybridMultilevel"/>
    <w:tmpl w:val="FB70B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40BB0"/>
    <w:multiLevelType w:val="hybridMultilevel"/>
    <w:tmpl w:val="9FDE7F96"/>
    <w:lvl w:ilvl="0" w:tplc="BD2AA84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 w15:restartNumberingAfterBreak="0">
    <w:nsid w:val="3BB66F58"/>
    <w:multiLevelType w:val="hybridMultilevel"/>
    <w:tmpl w:val="C8C4B604"/>
    <w:lvl w:ilvl="0" w:tplc="BD2AA84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530A75AE"/>
    <w:multiLevelType w:val="hybridMultilevel"/>
    <w:tmpl w:val="EC287348"/>
    <w:lvl w:ilvl="0" w:tplc="FF48F282">
      <w:start w:val="1"/>
      <w:numFmt w:val="bullet"/>
      <w:lvlText w:val="•"/>
      <w:lvlJc w:val="left"/>
      <w:pPr>
        <w:tabs>
          <w:tab w:val="num" w:pos="720"/>
        </w:tabs>
        <w:ind w:left="720" w:hanging="360"/>
      </w:pPr>
      <w:rPr>
        <w:rFonts w:ascii="Arial" w:hAnsi="Arial" w:hint="default"/>
      </w:rPr>
    </w:lvl>
    <w:lvl w:ilvl="1" w:tplc="1F184D7C">
      <w:start w:val="1"/>
      <w:numFmt w:val="bullet"/>
      <w:lvlText w:val="•"/>
      <w:lvlJc w:val="left"/>
      <w:pPr>
        <w:tabs>
          <w:tab w:val="num" w:pos="1440"/>
        </w:tabs>
        <w:ind w:left="1440" w:hanging="360"/>
      </w:pPr>
      <w:rPr>
        <w:rFonts w:ascii="Arial" w:hAnsi="Arial" w:hint="default"/>
      </w:rPr>
    </w:lvl>
    <w:lvl w:ilvl="2" w:tplc="1B247BCC" w:tentative="1">
      <w:start w:val="1"/>
      <w:numFmt w:val="bullet"/>
      <w:lvlText w:val="•"/>
      <w:lvlJc w:val="left"/>
      <w:pPr>
        <w:tabs>
          <w:tab w:val="num" w:pos="2160"/>
        </w:tabs>
        <w:ind w:left="2160" w:hanging="360"/>
      </w:pPr>
      <w:rPr>
        <w:rFonts w:ascii="Arial" w:hAnsi="Arial" w:hint="default"/>
      </w:rPr>
    </w:lvl>
    <w:lvl w:ilvl="3" w:tplc="BAFE5C36" w:tentative="1">
      <w:start w:val="1"/>
      <w:numFmt w:val="bullet"/>
      <w:lvlText w:val="•"/>
      <w:lvlJc w:val="left"/>
      <w:pPr>
        <w:tabs>
          <w:tab w:val="num" w:pos="2880"/>
        </w:tabs>
        <w:ind w:left="2880" w:hanging="360"/>
      </w:pPr>
      <w:rPr>
        <w:rFonts w:ascii="Arial" w:hAnsi="Arial" w:hint="default"/>
      </w:rPr>
    </w:lvl>
    <w:lvl w:ilvl="4" w:tplc="1C6E1566" w:tentative="1">
      <w:start w:val="1"/>
      <w:numFmt w:val="bullet"/>
      <w:lvlText w:val="•"/>
      <w:lvlJc w:val="left"/>
      <w:pPr>
        <w:tabs>
          <w:tab w:val="num" w:pos="3600"/>
        </w:tabs>
        <w:ind w:left="3600" w:hanging="360"/>
      </w:pPr>
      <w:rPr>
        <w:rFonts w:ascii="Arial" w:hAnsi="Arial" w:hint="default"/>
      </w:rPr>
    </w:lvl>
    <w:lvl w:ilvl="5" w:tplc="49C0B6BA" w:tentative="1">
      <w:start w:val="1"/>
      <w:numFmt w:val="bullet"/>
      <w:lvlText w:val="•"/>
      <w:lvlJc w:val="left"/>
      <w:pPr>
        <w:tabs>
          <w:tab w:val="num" w:pos="4320"/>
        </w:tabs>
        <w:ind w:left="4320" w:hanging="360"/>
      </w:pPr>
      <w:rPr>
        <w:rFonts w:ascii="Arial" w:hAnsi="Arial" w:hint="default"/>
      </w:rPr>
    </w:lvl>
    <w:lvl w:ilvl="6" w:tplc="8646C490" w:tentative="1">
      <w:start w:val="1"/>
      <w:numFmt w:val="bullet"/>
      <w:lvlText w:val="•"/>
      <w:lvlJc w:val="left"/>
      <w:pPr>
        <w:tabs>
          <w:tab w:val="num" w:pos="5040"/>
        </w:tabs>
        <w:ind w:left="5040" w:hanging="360"/>
      </w:pPr>
      <w:rPr>
        <w:rFonts w:ascii="Arial" w:hAnsi="Arial" w:hint="default"/>
      </w:rPr>
    </w:lvl>
    <w:lvl w:ilvl="7" w:tplc="4FDAD2C0" w:tentative="1">
      <w:start w:val="1"/>
      <w:numFmt w:val="bullet"/>
      <w:lvlText w:val="•"/>
      <w:lvlJc w:val="left"/>
      <w:pPr>
        <w:tabs>
          <w:tab w:val="num" w:pos="5760"/>
        </w:tabs>
        <w:ind w:left="5760" w:hanging="360"/>
      </w:pPr>
      <w:rPr>
        <w:rFonts w:ascii="Arial" w:hAnsi="Arial" w:hint="default"/>
      </w:rPr>
    </w:lvl>
    <w:lvl w:ilvl="8" w:tplc="D086452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110E0F"/>
    <w:multiLevelType w:val="hybridMultilevel"/>
    <w:tmpl w:val="FBFC7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E091C"/>
    <w:multiLevelType w:val="hybridMultilevel"/>
    <w:tmpl w:val="45C630E8"/>
    <w:lvl w:ilvl="0" w:tplc="AD7E6B40">
      <w:start w:val="1"/>
      <w:numFmt w:val="bullet"/>
      <w:lvlText w:val="•"/>
      <w:lvlJc w:val="left"/>
      <w:pPr>
        <w:tabs>
          <w:tab w:val="num" w:pos="720"/>
        </w:tabs>
        <w:ind w:left="720" w:hanging="360"/>
      </w:pPr>
      <w:rPr>
        <w:rFonts w:ascii="Arial" w:hAnsi="Arial" w:hint="default"/>
      </w:rPr>
    </w:lvl>
    <w:lvl w:ilvl="1" w:tplc="FDAC78B6">
      <w:start w:val="1"/>
      <w:numFmt w:val="bullet"/>
      <w:lvlText w:val="•"/>
      <w:lvlJc w:val="left"/>
      <w:pPr>
        <w:tabs>
          <w:tab w:val="num" w:pos="1440"/>
        </w:tabs>
        <w:ind w:left="1440" w:hanging="360"/>
      </w:pPr>
      <w:rPr>
        <w:rFonts w:ascii="Arial" w:hAnsi="Arial" w:hint="default"/>
      </w:rPr>
    </w:lvl>
    <w:lvl w:ilvl="2" w:tplc="4776CDFC" w:tentative="1">
      <w:start w:val="1"/>
      <w:numFmt w:val="bullet"/>
      <w:lvlText w:val="•"/>
      <w:lvlJc w:val="left"/>
      <w:pPr>
        <w:tabs>
          <w:tab w:val="num" w:pos="2160"/>
        </w:tabs>
        <w:ind w:left="2160" w:hanging="360"/>
      </w:pPr>
      <w:rPr>
        <w:rFonts w:ascii="Arial" w:hAnsi="Arial" w:hint="default"/>
      </w:rPr>
    </w:lvl>
    <w:lvl w:ilvl="3" w:tplc="C9AA0210" w:tentative="1">
      <w:start w:val="1"/>
      <w:numFmt w:val="bullet"/>
      <w:lvlText w:val="•"/>
      <w:lvlJc w:val="left"/>
      <w:pPr>
        <w:tabs>
          <w:tab w:val="num" w:pos="2880"/>
        </w:tabs>
        <w:ind w:left="2880" w:hanging="360"/>
      </w:pPr>
      <w:rPr>
        <w:rFonts w:ascii="Arial" w:hAnsi="Arial" w:hint="default"/>
      </w:rPr>
    </w:lvl>
    <w:lvl w:ilvl="4" w:tplc="7B863B74" w:tentative="1">
      <w:start w:val="1"/>
      <w:numFmt w:val="bullet"/>
      <w:lvlText w:val="•"/>
      <w:lvlJc w:val="left"/>
      <w:pPr>
        <w:tabs>
          <w:tab w:val="num" w:pos="3600"/>
        </w:tabs>
        <w:ind w:left="3600" w:hanging="360"/>
      </w:pPr>
      <w:rPr>
        <w:rFonts w:ascii="Arial" w:hAnsi="Arial" w:hint="default"/>
      </w:rPr>
    </w:lvl>
    <w:lvl w:ilvl="5" w:tplc="3C7CD9C0" w:tentative="1">
      <w:start w:val="1"/>
      <w:numFmt w:val="bullet"/>
      <w:lvlText w:val="•"/>
      <w:lvlJc w:val="left"/>
      <w:pPr>
        <w:tabs>
          <w:tab w:val="num" w:pos="4320"/>
        </w:tabs>
        <w:ind w:left="4320" w:hanging="360"/>
      </w:pPr>
      <w:rPr>
        <w:rFonts w:ascii="Arial" w:hAnsi="Arial" w:hint="default"/>
      </w:rPr>
    </w:lvl>
    <w:lvl w:ilvl="6" w:tplc="4A2CFE9A" w:tentative="1">
      <w:start w:val="1"/>
      <w:numFmt w:val="bullet"/>
      <w:lvlText w:val="•"/>
      <w:lvlJc w:val="left"/>
      <w:pPr>
        <w:tabs>
          <w:tab w:val="num" w:pos="5040"/>
        </w:tabs>
        <w:ind w:left="5040" w:hanging="360"/>
      </w:pPr>
      <w:rPr>
        <w:rFonts w:ascii="Arial" w:hAnsi="Arial" w:hint="default"/>
      </w:rPr>
    </w:lvl>
    <w:lvl w:ilvl="7" w:tplc="158E3A0A" w:tentative="1">
      <w:start w:val="1"/>
      <w:numFmt w:val="bullet"/>
      <w:lvlText w:val="•"/>
      <w:lvlJc w:val="left"/>
      <w:pPr>
        <w:tabs>
          <w:tab w:val="num" w:pos="5760"/>
        </w:tabs>
        <w:ind w:left="5760" w:hanging="360"/>
      </w:pPr>
      <w:rPr>
        <w:rFonts w:ascii="Arial" w:hAnsi="Arial" w:hint="default"/>
      </w:rPr>
    </w:lvl>
    <w:lvl w:ilvl="8" w:tplc="1B4A442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3655E9"/>
    <w:multiLevelType w:val="hybridMultilevel"/>
    <w:tmpl w:val="1154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75B6C"/>
    <w:multiLevelType w:val="multilevel"/>
    <w:tmpl w:val="2AAC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9229133">
    <w:abstractNumId w:val="1"/>
  </w:num>
  <w:num w:numId="2" w16cid:durableId="331839966">
    <w:abstractNumId w:val="20"/>
  </w:num>
  <w:num w:numId="3" w16cid:durableId="946424829">
    <w:abstractNumId w:val="6"/>
  </w:num>
  <w:num w:numId="4" w16cid:durableId="1700619941">
    <w:abstractNumId w:val="14"/>
  </w:num>
  <w:num w:numId="5" w16cid:durableId="1598751431">
    <w:abstractNumId w:val="8"/>
  </w:num>
  <w:num w:numId="6" w16cid:durableId="739714502">
    <w:abstractNumId w:val="4"/>
  </w:num>
  <w:num w:numId="7" w16cid:durableId="1217469798">
    <w:abstractNumId w:val="18"/>
  </w:num>
  <w:num w:numId="8" w16cid:durableId="1855727485">
    <w:abstractNumId w:val="9"/>
  </w:num>
  <w:num w:numId="9" w16cid:durableId="642467219">
    <w:abstractNumId w:val="15"/>
  </w:num>
  <w:num w:numId="10" w16cid:durableId="235864645">
    <w:abstractNumId w:val="16"/>
  </w:num>
  <w:num w:numId="11" w16cid:durableId="1159882769">
    <w:abstractNumId w:val="0"/>
  </w:num>
  <w:num w:numId="12" w16cid:durableId="1171290438">
    <w:abstractNumId w:val="3"/>
  </w:num>
  <w:num w:numId="13" w16cid:durableId="813334496">
    <w:abstractNumId w:val="11"/>
  </w:num>
  <w:num w:numId="14" w16cid:durableId="1716543715">
    <w:abstractNumId w:val="17"/>
  </w:num>
  <w:num w:numId="15" w16cid:durableId="1415513333">
    <w:abstractNumId w:val="7"/>
  </w:num>
  <w:num w:numId="16" w16cid:durableId="20282786">
    <w:abstractNumId w:val="19"/>
  </w:num>
  <w:num w:numId="17" w16cid:durableId="191496343">
    <w:abstractNumId w:val="12"/>
  </w:num>
  <w:num w:numId="18" w16cid:durableId="148904425">
    <w:abstractNumId w:val="5"/>
  </w:num>
  <w:num w:numId="19" w16cid:durableId="892473309">
    <w:abstractNumId w:val="10"/>
  </w:num>
  <w:num w:numId="20" w16cid:durableId="1894151494">
    <w:abstractNumId w:val="13"/>
  </w:num>
  <w:num w:numId="21" w16cid:durableId="12003135">
    <w:abstractNumId w:val="1"/>
  </w:num>
  <w:num w:numId="22" w16cid:durableId="420488503">
    <w:abstractNumId w:val="21"/>
  </w:num>
  <w:num w:numId="23" w16cid:durableId="1559979313">
    <w:abstractNumId w:val="1"/>
  </w:num>
  <w:num w:numId="24" w16cid:durableId="1633975910">
    <w:abstractNumId w:val="1"/>
  </w:num>
  <w:num w:numId="25" w16cid:durableId="552691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CD"/>
    <w:rsid w:val="000242AF"/>
    <w:rsid w:val="00026A7E"/>
    <w:rsid w:val="00030E8C"/>
    <w:rsid w:val="00041823"/>
    <w:rsid w:val="000442E5"/>
    <w:rsid w:val="000514D3"/>
    <w:rsid w:val="00054A5E"/>
    <w:rsid w:val="00066E0E"/>
    <w:rsid w:val="00074F87"/>
    <w:rsid w:val="00084D97"/>
    <w:rsid w:val="00095C0D"/>
    <w:rsid w:val="000A65C3"/>
    <w:rsid w:val="000B50BC"/>
    <w:rsid w:val="000B740E"/>
    <w:rsid w:val="000C01FE"/>
    <w:rsid w:val="000D1D94"/>
    <w:rsid w:val="000D320D"/>
    <w:rsid w:val="000E048D"/>
    <w:rsid w:val="001026D3"/>
    <w:rsid w:val="00102A0F"/>
    <w:rsid w:val="00102B11"/>
    <w:rsid w:val="00105C34"/>
    <w:rsid w:val="00126B2E"/>
    <w:rsid w:val="001276B4"/>
    <w:rsid w:val="00144B98"/>
    <w:rsid w:val="001451E8"/>
    <w:rsid w:val="0016046B"/>
    <w:rsid w:val="00161F74"/>
    <w:rsid w:val="0016227F"/>
    <w:rsid w:val="00171984"/>
    <w:rsid w:val="001739C3"/>
    <w:rsid w:val="00174B3D"/>
    <w:rsid w:val="00193AA4"/>
    <w:rsid w:val="001B3079"/>
    <w:rsid w:val="001D0DEB"/>
    <w:rsid w:val="001F2980"/>
    <w:rsid w:val="00202BC9"/>
    <w:rsid w:val="00217462"/>
    <w:rsid w:val="00223B0A"/>
    <w:rsid w:val="00224626"/>
    <w:rsid w:val="00225893"/>
    <w:rsid w:val="002520E4"/>
    <w:rsid w:val="00255A12"/>
    <w:rsid w:val="002775D4"/>
    <w:rsid w:val="00277A06"/>
    <w:rsid w:val="00294E96"/>
    <w:rsid w:val="002A1C83"/>
    <w:rsid w:val="002B0E77"/>
    <w:rsid w:val="002B1A69"/>
    <w:rsid w:val="002B5724"/>
    <w:rsid w:val="002B7C83"/>
    <w:rsid w:val="002C4443"/>
    <w:rsid w:val="002C49BF"/>
    <w:rsid w:val="002C6CE7"/>
    <w:rsid w:val="002D6C32"/>
    <w:rsid w:val="002E2D86"/>
    <w:rsid w:val="002E790C"/>
    <w:rsid w:val="0031421C"/>
    <w:rsid w:val="003153E1"/>
    <w:rsid w:val="00315CFA"/>
    <w:rsid w:val="00324DA0"/>
    <w:rsid w:val="00340AFD"/>
    <w:rsid w:val="00354BBE"/>
    <w:rsid w:val="003564D5"/>
    <w:rsid w:val="00363796"/>
    <w:rsid w:val="00374500"/>
    <w:rsid w:val="003876EC"/>
    <w:rsid w:val="00394CB9"/>
    <w:rsid w:val="00396FA4"/>
    <w:rsid w:val="003A0A76"/>
    <w:rsid w:val="003A3ABB"/>
    <w:rsid w:val="003D6677"/>
    <w:rsid w:val="003F2E5F"/>
    <w:rsid w:val="00413AE0"/>
    <w:rsid w:val="00413D5D"/>
    <w:rsid w:val="00421A27"/>
    <w:rsid w:val="00442769"/>
    <w:rsid w:val="00444D0B"/>
    <w:rsid w:val="00462F56"/>
    <w:rsid w:val="00472B6D"/>
    <w:rsid w:val="00476F04"/>
    <w:rsid w:val="00483BA8"/>
    <w:rsid w:val="004A62C6"/>
    <w:rsid w:val="004B0DA7"/>
    <w:rsid w:val="004B132A"/>
    <w:rsid w:val="004B465C"/>
    <w:rsid w:val="004C2B96"/>
    <w:rsid w:val="004C64D7"/>
    <w:rsid w:val="004D4CEF"/>
    <w:rsid w:val="004D63EB"/>
    <w:rsid w:val="004D7E4D"/>
    <w:rsid w:val="004F3DF8"/>
    <w:rsid w:val="00501D46"/>
    <w:rsid w:val="0050762F"/>
    <w:rsid w:val="0051178D"/>
    <w:rsid w:val="00512117"/>
    <w:rsid w:val="005141B9"/>
    <w:rsid w:val="00523DC2"/>
    <w:rsid w:val="00533527"/>
    <w:rsid w:val="00533CFD"/>
    <w:rsid w:val="00547910"/>
    <w:rsid w:val="00557CED"/>
    <w:rsid w:val="005850A7"/>
    <w:rsid w:val="005C6DBE"/>
    <w:rsid w:val="005D40E8"/>
    <w:rsid w:val="00600056"/>
    <w:rsid w:val="00600208"/>
    <w:rsid w:val="006014BE"/>
    <w:rsid w:val="00601D4E"/>
    <w:rsid w:val="00606156"/>
    <w:rsid w:val="00611B94"/>
    <w:rsid w:val="00617C62"/>
    <w:rsid w:val="0062257A"/>
    <w:rsid w:val="0063306B"/>
    <w:rsid w:val="00641DC0"/>
    <w:rsid w:val="006435E8"/>
    <w:rsid w:val="006771FE"/>
    <w:rsid w:val="0069522F"/>
    <w:rsid w:val="00695F91"/>
    <w:rsid w:val="006A1DAF"/>
    <w:rsid w:val="006A35E8"/>
    <w:rsid w:val="006B3A14"/>
    <w:rsid w:val="006F2711"/>
    <w:rsid w:val="006F5336"/>
    <w:rsid w:val="0070066F"/>
    <w:rsid w:val="00706523"/>
    <w:rsid w:val="0071651C"/>
    <w:rsid w:val="00721A2B"/>
    <w:rsid w:val="00726522"/>
    <w:rsid w:val="00741BF9"/>
    <w:rsid w:val="00746D55"/>
    <w:rsid w:val="00747FA7"/>
    <w:rsid w:val="00757B81"/>
    <w:rsid w:val="00770FB6"/>
    <w:rsid w:val="007765E3"/>
    <w:rsid w:val="0078756D"/>
    <w:rsid w:val="007904BC"/>
    <w:rsid w:val="00790B56"/>
    <w:rsid w:val="00794C58"/>
    <w:rsid w:val="00796638"/>
    <w:rsid w:val="00796690"/>
    <w:rsid w:val="007A0FCD"/>
    <w:rsid w:val="007B1B6C"/>
    <w:rsid w:val="007C566A"/>
    <w:rsid w:val="007C5EBF"/>
    <w:rsid w:val="007D0C52"/>
    <w:rsid w:val="007D2B8D"/>
    <w:rsid w:val="007D438B"/>
    <w:rsid w:val="007F5019"/>
    <w:rsid w:val="00833E5E"/>
    <w:rsid w:val="00840BB1"/>
    <w:rsid w:val="00842C56"/>
    <w:rsid w:val="00863089"/>
    <w:rsid w:val="008636B3"/>
    <w:rsid w:val="00873E16"/>
    <w:rsid w:val="0087405B"/>
    <w:rsid w:val="00876974"/>
    <w:rsid w:val="008771B3"/>
    <w:rsid w:val="00896BB9"/>
    <w:rsid w:val="008C06E1"/>
    <w:rsid w:val="008C3753"/>
    <w:rsid w:val="008C6661"/>
    <w:rsid w:val="008D4BFF"/>
    <w:rsid w:val="008E515E"/>
    <w:rsid w:val="008E7649"/>
    <w:rsid w:val="008F1EAF"/>
    <w:rsid w:val="008F61E5"/>
    <w:rsid w:val="009066B4"/>
    <w:rsid w:val="00906781"/>
    <w:rsid w:val="00907F2A"/>
    <w:rsid w:val="0091332F"/>
    <w:rsid w:val="009333C4"/>
    <w:rsid w:val="00933C11"/>
    <w:rsid w:val="00945429"/>
    <w:rsid w:val="009466AF"/>
    <w:rsid w:val="0096790A"/>
    <w:rsid w:val="00984A12"/>
    <w:rsid w:val="00994F63"/>
    <w:rsid w:val="009A533B"/>
    <w:rsid w:val="009D679B"/>
    <w:rsid w:val="00A26430"/>
    <w:rsid w:val="00A344F6"/>
    <w:rsid w:val="00A348D8"/>
    <w:rsid w:val="00A35EF3"/>
    <w:rsid w:val="00A4350F"/>
    <w:rsid w:val="00A47D21"/>
    <w:rsid w:val="00A51748"/>
    <w:rsid w:val="00A52E9D"/>
    <w:rsid w:val="00A53750"/>
    <w:rsid w:val="00A57B04"/>
    <w:rsid w:val="00A665A5"/>
    <w:rsid w:val="00A7567D"/>
    <w:rsid w:val="00A83C37"/>
    <w:rsid w:val="00A85B65"/>
    <w:rsid w:val="00A933E9"/>
    <w:rsid w:val="00A9550B"/>
    <w:rsid w:val="00AB4405"/>
    <w:rsid w:val="00AB55EB"/>
    <w:rsid w:val="00AD4C81"/>
    <w:rsid w:val="00AD4E78"/>
    <w:rsid w:val="00AE7EE9"/>
    <w:rsid w:val="00AF6FD8"/>
    <w:rsid w:val="00B22A47"/>
    <w:rsid w:val="00B34924"/>
    <w:rsid w:val="00B417FA"/>
    <w:rsid w:val="00B43E31"/>
    <w:rsid w:val="00B557FA"/>
    <w:rsid w:val="00B70B0C"/>
    <w:rsid w:val="00B84F78"/>
    <w:rsid w:val="00B94B7D"/>
    <w:rsid w:val="00BB6775"/>
    <w:rsid w:val="00BB7746"/>
    <w:rsid w:val="00BC4DF1"/>
    <w:rsid w:val="00BC6869"/>
    <w:rsid w:val="00BD38AC"/>
    <w:rsid w:val="00BE344A"/>
    <w:rsid w:val="00C12FDA"/>
    <w:rsid w:val="00C131A0"/>
    <w:rsid w:val="00C14B86"/>
    <w:rsid w:val="00C2636D"/>
    <w:rsid w:val="00C43DC4"/>
    <w:rsid w:val="00C453A8"/>
    <w:rsid w:val="00C47F4C"/>
    <w:rsid w:val="00C6315E"/>
    <w:rsid w:val="00C81969"/>
    <w:rsid w:val="00C92F6D"/>
    <w:rsid w:val="00C95BDC"/>
    <w:rsid w:val="00CA28E9"/>
    <w:rsid w:val="00CA627C"/>
    <w:rsid w:val="00CA7347"/>
    <w:rsid w:val="00CA754B"/>
    <w:rsid w:val="00CB1502"/>
    <w:rsid w:val="00CB43BE"/>
    <w:rsid w:val="00CC7806"/>
    <w:rsid w:val="00CE00E9"/>
    <w:rsid w:val="00CE2BD0"/>
    <w:rsid w:val="00CE588D"/>
    <w:rsid w:val="00CE7B73"/>
    <w:rsid w:val="00CF4C98"/>
    <w:rsid w:val="00CF746E"/>
    <w:rsid w:val="00D31DB1"/>
    <w:rsid w:val="00D3385E"/>
    <w:rsid w:val="00D361E9"/>
    <w:rsid w:val="00D36FC3"/>
    <w:rsid w:val="00D47916"/>
    <w:rsid w:val="00D508B8"/>
    <w:rsid w:val="00D5128F"/>
    <w:rsid w:val="00D53E09"/>
    <w:rsid w:val="00D62000"/>
    <w:rsid w:val="00D659D6"/>
    <w:rsid w:val="00D66CE6"/>
    <w:rsid w:val="00D8266E"/>
    <w:rsid w:val="00D82C49"/>
    <w:rsid w:val="00D8552F"/>
    <w:rsid w:val="00DA58BB"/>
    <w:rsid w:val="00DB0478"/>
    <w:rsid w:val="00DB4DAB"/>
    <w:rsid w:val="00DB6325"/>
    <w:rsid w:val="00DC54EF"/>
    <w:rsid w:val="00DC6D29"/>
    <w:rsid w:val="00DD3469"/>
    <w:rsid w:val="00DE0906"/>
    <w:rsid w:val="00DF4CD7"/>
    <w:rsid w:val="00DF4D30"/>
    <w:rsid w:val="00DF72CF"/>
    <w:rsid w:val="00E001EF"/>
    <w:rsid w:val="00E252A6"/>
    <w:rsid w:val="00E33E94"/>
    <w:rsid w:val="00E3533D"/>
    <w:rsid w:val="00E460B1"/>
    <w:rsid w:val="00E47E73"/>
    <w:rsid w:val="00E624D7"/>
    <w:rsid w:val="00E73B85"/>
    <w:rsid w:val="00E771E5"/>
    <w:rsid w:val="00E927CE"/>
    <w:rsid w:val="00E931A4"/>
    <w:rsid w:val="00E945DB"/>
    <w:rsid w:val="00E95250"/>
    <w:rsid w:val="00E9663D"/>
    <w:rsid w:val="00EA39E6"/>
    <w:rsid w:val="00EA69EB"/>
    <w:rsid w:val="00EB6C77"/>
    <w:rsid w:val="00EC51D4"/>
    <w:rsid w:val="00EE2388"/>
    <w:rsid w:val="00EE7754"/>
    <w:rsid w:val="00EF600C"/>
    <w:rsid w:val="00F01A25"/>
    <w:rsid w:val="00F076A6"/>
    <w:rsid w:val="00F16A72"/>
    <w:rsid w:val="00F2038D"/>
    <w:rsid w:val="00F31AB4"/>
    <w:rsid w:val="00F56338"/>
    <w:rsid w:val="00F61D2B"/>
    <w:rsid w:val="00F66DA5"/>
    <w:rsid w:val="00F70776"/>
    <w:rsid w:val="00F8195E"/>
    <w:rsid w:val="00F8215B"/>
    <w:rsid w:val="00F877B4"/>
    <w:rsid w:val="00F87EA7"/>
    <w:rsid w:val="00F957C7"/>
    <w:rsid w:val="00FA1120"/>
    <w:rsid w:val="00FA58CF"/>
    <w:rsid w:val="00FB4BD1"/>
    <w:rsid w:val="00FB5CED"/>
    <w:rsid w:val="00FD0B6E"/>
    <w:rsid w:val="00FE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2B0A"/>
  <w15:chartTrackingRefBased/>
  <w15:docId w15:val="{279179F4-DCC7-4A95-B5FA-8DFC662E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73"/>
    <w:pPr>
      <w:tabs>
        <w:tab w:val="left" w:pos="2431"/>
      </w:tabs>
      <w:spacing w:after="240" w:line="240" w:lineRule="auto"/>
    </w:pPr>
    <w:rPr>
      <w:rFonts w:ascii="Segoe UI" w:hAnsi="Segoe UI"/>
    </w:rPr>
  </w:style>
  <w:style w:type="paragraph" w:styleId="Heading1">
    <w:name w:val="heading 1"/>
    <w:next w:val="Normal"/>
    <w:link w:val="Heading1Char"/>
    <w:uiPriority w:val="9"/>
    <w:qFormat/>
    <w:rsid w:val="00462F56"/>
    <w:pPr>
      <w:keepNext/>
      <w:keepLines/>
      <w:pBdr>
        <w:bottom w:val="single" w:sz="2" w:space="1" w:color="C7202F" w:themeColor="accent1"/>
      </w:pBdr>
      <w:spacing w:before="200" w:after="200" w:line="240" w:lineRule="auto"/>
      <w:outlineLvl w:val="0"/>
    </w:pPr>
    <w:rPr>
      <w:rFonts w:ascii="Segoe UI" w:eastAsiaTheme="majorEastAsia" w:hAnsi="Segoe UI" w:cs="Segoe UI"/>
      <w:caps/>
      <w:color w:val="C7202F" w:themeColor="accent1"/>
      <w:sz w:val="28"/>
      <w:szCs w:val="52"/>
    </w:rPr>
  </w:style>
  <w:style w:type="paragraph" w:styleId="Heading2">
    <w:name w:val="heading 2"/>
    <w:next w:val="Normal"/>
    <w:link w:val="Heading2Char"/>
    <w:uiPriority w:val="9"/>
    <w:unhideWhenUsed/>
    <w:qFormat/>
    <w:rsid w:val="00462F56"/>
    <w:pPr>
      <w:keepNext/>
      <w:keepLines/>
      <w:spacing w:before="240" w:after="240" w:line="240" w:lineRule="auto"/>
      <w:contextualSpacing/>
      <w:outlineLvl w:val="1"/>
    </w:pPr>
    <w:rPr>
      <w:rFonts w:ascii="Segoe UI Semibold" w:eastAsiaTheme="majorEastAsia" w:hAnsi="Segoe UI Semibold" w:cs="Segoe UI Semibold"/>
      <w:caps/>
      <w:color w:val="C00000"/>
      <w:sz w:val="26"/>
      <w:szCs w:val="36"/>
    </w:rPr>
  </w:style>
  <w:style w:type="paragraph" w:styleId="Heading3">
    <w:name w:val="heading 3"/>
    <w:next w:val="Normal"/>
    <w:link w:val="Heading3Char"/>
    <w:uiPriority w:val="9"/>
    <w:unhideWhenUsed/>
    <w:qFormat/>
    <w:rsid w:val="00462F56"/>
    <w:pPr>
      <w:keepNext/>
      <w:keepLines/>
      <w:spacing w:before="160" w:line="240" w:lineRule="auto"/>
      <w:outlineLvl w:val="2"/>
    </w:pPr>
    <w:rPr>
      <w:rFonts w:ascii="Segoe UI Semilight" w:eastAsiaTheme="majorEastAsia" w:hAnsi="Segoe UI Semilight" w:cs="Segoe UI Semilight"/>
      <w:b/>
      <w:color w:val="2399BB" w:themeColor="accent2"/>
      <w:sz w:val="24"/>
      <w:szCs w:val="32"/>
    </w:rPr>
  </w:style>
  <w:style w:type="paragraph" w:styleId="Heading4">
    <w:name w:val="heading 4"/>
    <w:next w:val="Normal"/>
    <w:link w:val="Heading4Char"/>
    <w:uiPriority w:val="9"/>
    <w:unhideWhenUsed/>
    <w:qFormat/>
    <w:rsid w:val="00600056"/>
    <w:pPr>
      <w:keepNext/>
      <w:keepLines/>
      <w:spacing w:before="240" w:after="240" w:line="240" w:lineRule="auto"/>
      <w:outlineLvl w:val="3"/>
    </w:pPr>
    <w:rPr>
      <w:rFonts w:ascii="Segoe UI Light" w:eastAsiaTheme="majorEastAsia" w:hAnsi="Segoe UI Light" w:cs="Segoe UI Light"/>
      <w:b/>
      <w:iCs/>
      <w:caps/>
      <w:color w:val="2A363B" w:themeColor="text1"/>
      <w:sz w:val="24"/>
      <w:szCs w:val="24"/>
    </w:rPr>
  </w:style>
  <w:style w:type="paragraph" w:styleId="Heading5">
    <w:name w:val="heading 5"/>
    <w:basedOn w:val="Normal"/>
    <w:next w:val="Normal"/>
    <w:link w:val="Heading5Char"/>
    <w:uiPriority w:val="9"/>
    <w:unhideWhenUsed/>
    <w:qFormat/>
    <w:rsid w:val="009A533B"/>
    <w:pPr>
      <w:keepNext/>
      <w:keepLines/>
      <w:spacing w:before="240"/>
      <w:outlineLvl w:val="4"/>
    </w:pPr>
    <w:rPr>
      <w:rFonts w:eastAsiaTheme="majorEastAsia" w:cs="Segoe UI"/>
      <w:caps/>
      <w:sz w:val="24"/>
      <w:szCs w:val="24"/>
    </w:rPr>
  </w:style>
  <w:style w:type="paragraph" w:styleId="Heading6">
    <w:name w:val="heading 6"/>
    <w:basedOn w:val="Normal"/>
    <w:next w:val="Normal"/>
    <w:link w:val="Heading6Char"/>
    <w:uiPriority w:val="9"/>
    <w:unhideWhenUsed/>
    <w:qFormat/>
    <w:rsid w:val="009A533B"/>
    <w:pPr>
      <w:keepNext/>
      <w:keepLines/>
      <w:spacing w:before="240"/>
      <w:outlineLvl w:val="5"/>
    </w:pPr>
    <w:rPr>
      <w:rFonts w:eastAsiaTheme="majorEastAsia" w:cs="Segoe UI"/>
      <w:i/>
      <w:sz w:val="24"/>
      <w:szCs w:val="24"/>
    </w:rPr>
  </w:style>
  <w:style w:type="paragraph" w:styleId="Heading7">
    <w:name w:val="heading 7"/>
    <w:basedOn w:val="Normal"/>
    <w:next w:val="Normal"/>
    <w:link w:val="Heading7Char"/>
    <w:uiPriority w:val="9"/>
    <w:semiHidden/>
    <w:unhideWhenUsed/>
    <w:qFormat/>
    <w:rsid w:val="00A344F6"/>
    <w:pPr>
      <w:keepNext/>
      <w:keepLines/>
      <w:spacing w:before="40" w:after="0"/>
      <w:outlineLvl w:val="6"/>
    </w:pPr>
    <w:rPr>
      <w:rFonts w:asciiTheme="majorHAnsi" w:eastAsiaTheme="majorEastAsia" w:hAnsiTheme="majorHAnsi" w:cstheme="majorBidi"/>
      <w:i/>
      <w:iCs/>
      <w:color w:val="63101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557CED"/>
    <w:pPr>
      <w:tabs>
        <w:tab w:val="right" w:pos="9360"/>
      </w:tabs>
      <w:spacing w:after="0" w:line="240" w:lineRule="auto"/>
    </w:pPr>
    <w:rPr>
      <w:rFonts w:ascii="Segoe UI Semilight" w:hAnsi="Segoe UI Semilight" w:cs="Segoe UI Semilight"/>
      <w:i/>
      <w:color w:val="767171" w:themeColor="background2" w:themeShade="80"/>
      <w:sz w:val="18"/>
      <w:szCs w:val="18"/>
    </w:rPr>
  </w:style>
  <w:style w:type="character" w:customStyle="1" w:styleId="HeaderChar">
    <w:name w:val="Header Char"/>
    <w:basedOn w:val="DefaultParagraphFont"/>
    <w:link w:val="Header"/>
    <w:uiPriority w:val="99"/>
    <w:rsid w:val="00557CED"/>
    <w:rPr>
      <w:rFonts w:ascii="Segoe UI Semilight" w:hAnsi="Segoe UI Semilight" w:cs="Segoe UI Semilight"/>
      <w:i/>
      <w:color w:val="767171" w:themeColor="background2" w:themeShade="80"/>
      <w:sz w:val="18"/>
      <w:szCs w:val="18"/>
    </w:rPr>
  </w:style>
  <w:style w:type="paragraph" w:styleId="Footer">
    <w:name w:val="footer"/>
    <w:basedOn w:val="Header"/>
    <w:link w:val="FooterChar"/>
    <w:uiPriority w:val="99"/>
    <w:unhideWhenUsed/>
    <w:qFormat/>
    <w:rsid w:val="004C64D7"/>
    <w:pPr>
      <w:tabs>
        <w:tab w:val="center" w:pos="5040"/>
      </w:tabs>
    </w:pPr>
  </w:style>
  <w:style w:type="character" w:customStyle="1" w:styleId="FooterChar">
    <w:name w:val="Footer Char"/>
    <w:basedOn w:val="DefaultParagraphFont"/>
    <w:link w:val="Footer"/>
    <w:uiPriority w:val="99"/>
    <w:rsid w:val="004C64D7"/>
    <w:rPr>
      <w:rFonts w:ascii="Segoe UI Semilight" w:hAnsi="Segoe UI Semilight" w:cs="Segoe UI Semilight"/>
      <w:i/>
      <w:color w:val="767171" w:themeColor="background2" w:themeShade="80"/>
      <w:sz w:val="18"/>
      <w:szCs w:val="18"/>
    </w:rPr>
  </w:style>
  <w:style w:type="character" w:styleId="SubtleEmphasis">
    <w:name w:val="Subtle Emphasis"/>
    <w:basedOn w:val="DefaultParagraphFont"/>
    <w:uiPriority w:val="19"/>
    <w:qFormat/>
    <w:rsid w:val="00726522"/>
    <w:rPr>
      <w:rFonts w:ascii="Segoe UI Light" w:hAnsi="Segoe UI Light" w:cs="Segoe UI Light"/>
      <w:i/>
      <w:iCs/>
      <w:color w:val="2A363B" w:themeColor="text1"/>
      <w:sz w:val="56"/>
      <w:szCs w:val="56"/>
    </w:rPr>
  </w:style>
  <w:style w:type="character" w:styleId="Emphasis">
    <w:name w:val="Emphasis"/>
    <w:basedOn w:val="DefaultParagraphFont"/>
    <w:uiPriority w:val="20"/>
    <w:qFormat/>
    <w:rsid w:val="00641DC0"/>
    <w:rPr>
      <w:i/>
      <w:iCs/>
    </w:rPr>
  </w:style>
  <w:style w:type="character" w:customStyle="1" w:styleId="Heading2Char">
    <w:name w:val="Heading 2 Char"/>
    <w:basedOn w:val="DefaultParagraphFont"/>
    <w:link w:val="Heading2"/>
    <w:uiPriority w:val="9"/>
    <w:rsid w:val="00462F56"/>
    <w:rPr>
      <w:rFonts w:ascii="Segoe UI Semibold" w:eastAsiaTheme="majorEastAsia" w:hAnsi="Segoe UI Semibold" w:cs="Segoe UI Semibold"/>
      <w:caps/>
      <w:color w:val="C00000"/>
      <w:sz w:val="26"/>
      <w:szCs w:val="36"/>
    </w:rPr>
  </w:style>
  <w:style w:type="character" w:customStyle="1" w:styleId="Heading1Char">
    <w:name w:val="Heading 1 Char"/>
    <w:basedOn w:val="DefaultParagraphFont"/>
    <w:link w:val="Heading1"/>
    <w:uiPriority w:val="9"/>
    <w:rsid w:val="00462F56"/>
    <w:rPr>
      <w:rFonts w:ascii="Segoe UI" w:eastAsiaTheme="majorEastAsia" w:hAnsi="Segoe UI" w:cs="Segoe UI"/>
      <w:caps/>
      <w:color w:val="C7202F" w:themeColor="accent1"/>
      <w:sz w:val="28"/>
      <w:szCs w:val="52"/>
    </w:rPr>
  </w:style>
  <w:style w:type="character" w:customStyle="1" w:styleId="Heading3Char">
    <w:name w:val="Heading 3 Char"/>
    <w:basedOn w:val="DefaultParagraphFont"/>
    <w:link w:val="Heading3"/>
    <w:uiPriority w:val="9"/>
    <w:rsid w:val="00462F56"/>
    <w:rPr>
      <w:rFonts w:ascii="Segoe UI Semilight" w:eastAsiaTheme="majorEastAsia" w:hAnsi="Segoe UI Semilight" w:cs="Segoe UI Semilight"/>
      <w:b/>
      <w:color w:val="2399BB" w:themeColor="accent2"/>
      <w:sz w:val="24"/>
      <w:szCs w:val="32"/>
    </w:rPr>
  </w:style>
  <w:style w:type="paragraph" w:styleId="Title">
    <w:name w:val="Title"/>
    <w:basedOn w:val="Normal"/>
    <w:next w:val="Normal"/>
    <w:link w:val="TitleChar"/>
    <w:uiPriority w:val="10"/>
    <w:qFormat/>
    <w:rsid w:val="00994F63"/>
    <w:pPr>
      <w:spacing w:after="0"/>
      <w:jc w:val="center"/>
    </w:pPr>
    <w:rPr>
      <w:rFonts w:ascii="Segoe UI Black" w:hAnsi="Segoe UI Black"/>
      <w:b/>
      <w:caps/>
      <w:color w:val="C7202F" w:themeColor="accent1"/>
      <w:sz w:val="48"/>
      <w:szCs w:val="72"/>
    </w:rPr>
  </w:style>
  <w:style w:type="character" w:customStyle="1" w:styleId="TitleChar">
    <w:name w:val="Title Char"/>
    <w:basedOn w:val="DefaultParagraphFont"/>
    <w:link w:val="Title"/>
    <w:uiPriority w:val="10"/>
    <w:rsid w:val="00994F63"/>
    <w:rPr>
      <w:rFonts w:ascii="Segoe UI Black" w:hAnsi="Segoe UI Black"/>
      <w:b/>
      <w:caps/>
      <w:color w:val="C7202F" w:themeColor="accent1"/>
      <w:sz w:val="48"/>
      <w:szCs w:val="72"/>
    </w:rPr>
  </w:style>
  <w:style w:type="paragraph" w:styleId="Subtitle">
    <w:name w:val="Subtitle"/>
    <w:basedOn w:val="Normal"/>
    <w:next w:val="Normal"/>
    <w:link w:val="SubtitleChar"/>
    <w:uiPriority w:val="11"/>
    <w:qFormat/>
    <w:rsid w:val="003A0A76"/>
    <w:pPr>
      <w:spacing w:after="160"/>
    </w:pPr>
    <w:rPr>
      <w:rFonts w:ascii="Segoe UI Light" w:hAnsi="Segoe UI Light" w:cs="Segoe UI Light"/>
      <w:caps/>
      <w:color w:val="2A363B" w:themeColor="text1"/>
      <w:sz w:val="56"/>
      <w:szCs w:val="56"/>
    </w:rPr>
  </w:style>
  <w:style w:type="character" w:customStyle="1" w:styleId="SubtitleChar">
    <w:name w:val="Subtitle Char"/>
    <w:basedOn w:val="DefaultParagraphFont"/>
    <w:link w:val="Subtitle"/>
    <w:uiPriority w:val="11"/>
    <w:rsid w:val="003A0A76"/>
    <w:rPr>
      <w:rFonts w:ascii="Segoe UI Light" w:hAnsi="Segoe UI Light" w:cs="Segoe UI Light"/>
      <w:caps/>
      <w:color w:val="2A363B" w:themeColor="text1"/>
      <w:sz w:val="56"/>
      <w:szCs w:val="56"/>
    </w:rPr>
  </w:style>
  <w:style w:type="character" w:styleId="IntenseEmphasis">
    <w:name w:val="Intense Emphasis"/>
    <w:basedOn w:val="DefaultParagraphFont"/>
    <w:uiPriority w:val="21"/>
    <w:qFormat/>
    <w:rsid w:val="00641DC0"/>
    <w:rPr>
      <w:i/>
      <w:iCs/>
      <w:color w:val="E13A3E"/>
    </w:rPr>
  </w:style>
  <w:style w:type="character" w:styleId="Strong">
    <w:name w:val="Strong"/>
    <w:uiPriority w:val="22"/>
    <w:qFormat/>
    <w:rsid w:val="00641DC0"/>
    <w:rPr>
      <w:b/>
      <w:bCs/>
    </w:rPr>
  </w:style>
  <w:style w:type="character" w:customStyle="1" w:styleId="Heading4Char">
    <w:name w:val="Heading 4 Char"/>
    <w:basedOn w:val="DefaultParagraphFont"/>
    <w:link w:val="Heading4"/>
    <w:uiPriority w:val="9"/>
    <w:rsid w:val="00600056"/>
    <w:rPr>
      <w:rFonts w:ascii="Segoe UI Light" w:eastAsiaTheme="majorEastAsia" w:hAnsi="Segoe UI Light" w:cs="Segoe UI Light"/>
      <w:b/>
      <w:iCs/>
      <w:caps/>
      <w:color w:val="2A363B" w:themeColor="text1"/>
      <w:sz w:val="24"/>
      <w:szCs w:val="24"/>
    </w:rPr>
  </w:style>
  <w:style w:type="table" w:styleId="TableGrid">
    <w:name w:val="Table Grid"/>
    <w:basedOn w:val="TableNormal"/>
    <w:uiPriority w:val="39"/>
    <w:rsid w:val="0064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aliases w:val="SPP Report Template"/>
    <w:basedOn w:val="TableNormal"/>
    <w:uiPriority w:val="49"/>
    <w:rsid w:val="00B43E31"/>
    <w:pPr>
      <w:spacing w:after="0" w:line="240" w:lineRule="auto"/>
    </w:pPr>
    <w:rPr>
      <w:rFonts w:ascii="Segoe UI" w:hAnsi="Segoe UI"/>
    </w:rPr>
    <w:tblPr>
      <w:tblStyleRowBandSize w:val="1"/>
      <w:tblStyleColBandSize w:val="1"/>
      <w:tblBorders>
        <w:insideH w:val="single" w:sz="8" w:space="0" w:color="FFFFFF" w:themeColor="background1"/>
        <w:insideV w:val="single" w:sz="8" w:space="0" w:color="FFFFFF" w:themeColor="background1"/>
      </w:tblBorders>
      <w:tblCellMar>
        <w:top w:w="72" w:type="dxa"/>
        <w:left w:w="115" w:type="dxa"/>
        <w:bottom w:w="144" w:type="dxa"/>
        <w:right w:w="115" w:type="dxa"/>
      </w:tblCellMar>
    </w:tblPr>
    <w:tcPr>
      <w:vAlign w:val="center"/>
    </w:tcPr>
    <w:tblStylePr w:type="firstRow">
      <w:rPr>
        <w:b/>
        <w:bCs/>
        <w:color w:val="FFFFFF" w:themeColor="background1"/>
      </w:rPr>
      <w:tblPr/>
      <w:tcPr>
        <w:tcBorders>
          <w:top w:val="single" w:sz="4" w:space="0" w:color="2A363B" w:themeColor="text1"/>
          <w:left w:val="single" w:sz="4" w:space="0" w:color="2A363B" w:themeColor="text1"/>
          <w:bottom w:val="single" w:sz="4" w:space="0" w:color="2A363B" w:themeColor="text1"/>
          <w:right w:val="single" w:sz="4" w:space="0" w:color="2A363B" w:themeColor="text1"/>
          <w:insideH w:val="nil"/>
        </w:tcBorders>
        <w:shd w:val="clear" w:color="auto" w:fill="2A363B" w:themeFill="text1"/>
      </w:tcPr>
    </w:tblStylePr>
    <w:tblStylePr w:type="lastRow">
      <w:rPr>
        <w:b/>
        <w:bCs/>
      </w:rPr>
      <w:tblPr/>
      <w:tcPr>
        <w:tcBorders>
          <w:top w:val="double" w:sz="4" w:space="0" w:color="6F8C98" w:themeColor="text1" w:themeTint="99"/>
        </w:tcBorders>
      </w:tcPr>
    </w:tblStylePr>
    <w:tblStylePr w:type="firstCol">
      <w:rPr>
        <w:b/>
        <w:bCs/>
      </w:rPr>
    </w:tblStylePr>
    <w:tblStylePr w:type="lastCol">
      <w:rPr>
        <w:b/>
        <w:bCs/>
      </w:rPr>
    </w:tblStylePr>
    <w:tblStylePr w:type="band1Vert">
      <w:tblPr/>
      <w:tcPr>
        <w:shd w:val="clear" w:color="auto" w:fill="CFD8DD" w:themeFill="text1" w:themeFillTint="33"/>
      </w:tcPr>
    </w:tblStylePr>
    <w:tblStylePr w:type="band1Horz">
      <w:tblPr/>
      <w:tcPr>
        <w:shd w:val="clear" w:color="auto" w:fill="CFD8DD" w:themeFill="text1" w:themeFillTint="33"/>
      </w:tcPr>
    </w:tblStylePr>
  </w:style>
  <w:style w:type="paragraph" w:styleId="TOCHeading">
    <w:name w:val="TOC Heading"/>
    <w:basedOn w:val="Heading1"/>
    <w:next w:val="Normal"/>
    <w:uiPriority w:val="39"/>
    <w:unhideWhenUsed/>
    <w:qFormat/>
    <w:rsid w:val="00FD0B6E"/>
    <w:pPr>
      <w:outlineLvl w:val="9"/>
    </w:pPr>
  </w:style>
  <w:style w:type="paragraph" w:styleId="TOC1">
    <w:name w:val="toc 1"/>
    <w:basedOn w:val="Normal"/>
    <w:next w:val="Normal"/>
    <w:uiPriority w:val="39"/>
    <w:unhideWhenUsed/>
    <w:qFormat/>
    <w:rsid w:val="00E931A4"/>
    <w:pPr>
      <w:tabs>
        <w:tab w:val="clear" w:pos="2431"/>
        <w:tab w:val="right" w:leader="dot" w:pos="9350"/>
      </w:tabs>
      <w:spacing w:after="100"/>
    </w:pPr>
    <w:rPr>
      <w:rFonts w:cs="Segoe UI"/>
      <w:caps/>
      <w:noProof/>
    </w:rPr>
  </w:style>
  <w:style w:type="character" w:styleId="Hyperlink">
    <w:name w:val="Hyperlink"/>
    <w:basedOn w:val="DefaultParagraphFont"/>
    <w:uiPriority w:val="99"/>
    <w:unhideWhenUsed/>
    <w:rsid w:val="00FD0B6E"/>
    <w:rPr>
      <w:noProof/>
      <w:color w:val="2399BB" w:themeColor="hyperlink"/>
      <w:u w:val="single"/>
    </w:rPr>
  </w:style>
  <w:style w:type="paragraph" w:styleId="TOC2">
    <w:name w:val="toc 2"/>
    <w:basedOn w:val="TOC1"/>
    <w:next w:val="Normal"/>
    <w:uiPriority w:val="39"/>
    <w:unhideWhenUsed/>
    <w:qFormat/>
    <w:rsid w:val="00E931A4"/>
    <w:rPr>
      <w:caps w:val="0"/>
    </w:rPr>
  </w:style>
  <w:style w:type="paragraph" w:styleId="TOC3">
    <w:name w:val="toc 3"/>
    <w:basedOn w:val="Normal"/>
    <w:next w:val="Normal"/>
    <w:uiPriority w:val="39"/>
    <w:unhideWhenUsed/>
    <w:qFormat/>
    <w:rsid w:val="00E931A4"/>
    <w:pPr>
      <w:tabs>
        <w:tab w:val="clear" w:pos="2431"/>
        <w:tab w:val="right" w:leader="dot" w:pos="9360"/>
      </w:tabs>
      <w:spacing w:after="100"/>
      <w:ind w:left="440"/>
    </w:pPr>
    <w:rPr>
      <w:rFonts w:eastAsiaTheme="minorEastAsia" w:cs="Segoe UI"/>
      <w:noProof/>
    </w:rPr>
  </w:style>
  <w:style w:type="table" w:customStyle="1" w:styleId="SPPOfficialTableDefaultTable">
    <w:name w:val="SPP Official Table: Default Table"/>
    <w:basedOn w:val="TableNormal"/>
    <w:uiPriority w:val="99"/>
    <w:rsid w:val="00557CED"/>
    <w:pPr>
      <w:spacing w:after="0" w:line="240" w:lineRule="auto"/>
    </w:pPr>
    <w:rPr>
      <w:rFonts w:ascii="Segoe UI" w:hAnsi="Segoe UI"/>
    </w:rPr>
    <w:tblPr>
      <w:tblStyleRowBandSize w:val="1"/>
      <w:tblStyleColBandSize w:val="1"/>
      <w:tblBorders>
        <w:insideH w:val="single" w:sz="4" w:space="0" w:color="FFFFFF" w:themeColor="background1"/>
        <w:insideV w:val="single" w:sz="4" w:space="0" w:color="FFFFFF" w:themeColor="background1"/>
      </w:tblBorders>
      <w:tblCellMar>
        <w:top w:w="144" w:type="dxa"/>
        <w:left w:w="115" w:type="dxa"/>
        <w:right w:w="115" w:type="dxa"/>
      </w:tblCellMar>
    </w:tblPr>
    <w:tblStylePr w:type="firstRow">
      <w:pPr>
        <w:wordWrap/>
        <w:jc w:val="center"/>
      </w:pPr>
      <w:rPr>
        <w:rFonts w:ascii="Segoe UI" w:hAnsi="Segoe UI"/>
        <w:b/>
        <w:i w:val="0"/>
        <w:caps/>
        <w:smallCaps w:val="0"/>
        <w:color w:val="FFFFFF" w:themeColor="background1"/>
        <w:sz w:val="20"/>
      </w:rPr>
      <w:tblPr/>
      <w:tcPr>
        <w:tcBorders>
          <w:insideH w:val="single" w:sz="4" w:space="0" w:color="FFFFFF" w:themeColor="background1"/>
          <w:insideV w:val="single" w:sz="4" w:space="0" w:color="FFFFFF" w:themeColor="background1"/>
        </w:tcBorders>
        <w:shd w:val="clear" w:color="auto" w:fill="2399BB" w:themeFill="accent2"/>
      </w:tcPr>
    </w:tblStylePr>
    <w:tblStylePr w:type="lastRow">
      <w:rPr>
        <w:rFonts w:ascii="Segoe UI" w:hAnsi="Segoe UI"/>
        <w:b/>
        <w:sz w:val="20"/>
      </w:rPr>
      <w:tblPr/>
      <w:tcPr>
        <w:tcBorders>
          <w:insideH w:val="single" w:sz="4" w:space="0" w:color="FFFFFF" w:themeColor="background1"/>
          <w:insideV w:val="single" w:sz="4" w:space="0" w:color="FFFFFF" w:themeColor="background1"/>
        </w:tcBorders>
      </w:tcPr>
    </w:tblStylePr>
    <w:tblStylePr w:type="firstCol">
      <w:rPr>
        <w:rFonts w:ascii="Segoe UI" w:hAnsi="Segoe UI"/>
        <w:sz w:val="20"/>
      </w:rPr>
      <w:tblPr/>
      <w:tcPr>
        <w:tcBorders>
          <w:insideH w:val="nil"/>
          <w:insideV w:val="nil"/>
        </w:tcBorders>
      </w:tcPr>
    </w:tblStylePr>
    <w:tblStylePr w:type="lastCol">
      <w:tblPr/>
      <w:tcPr>
        <w:tcBorders>
          <w:insideH w:val="nil"/>
          <w:insideV w:val="nil"/>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rPr>
        <w:rFonts w:ascii="Segoe UI" w:hAnsi="Segoe UI"/>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D9D9D9" w:themeFill="background1" w:themeFillShade="D9"/>
      </w:tcPr>
    </w:tblStylePr>
    <w:tblStylePr w:type="band2Horz">
      <w:rPr>
        <w:rFonts w:ascii="Segoe UI" w:hAnsi="Segoe UI"/>
        <w:sz w:val="20"/>
      </w:rPr>
      <w:tblPr/>
      <w:tcPr>
        <w:shd w:val="clear" w:color="auto" w:fill="F2F2F2" w:themeFill="background1" w:themeFillShade="F2"/>
      </w:tcPr>
    </w:tblStylePr>
  </w:style>
  <w:style w:type="paragraph" w:customStyle="1" w:styleId="TableHeader">
    <w:name w:val="Table Header"/>
    <w:basedOn w:val="Normal"/>
    <w:qFormat/>
    <w:rsid w:val="00B43E31"/>
    <w:pPr>
      <w:jc w:val="center"/>
    </w:pPr>
    <w:rPr>
      <w:rFonts w:cs="Segoe UI"/>
      <w:bCs/>
      <w:caps/>
      <w:color w:val="FFFFFF" w:themeColor="background1"/>
    </w:rPr>
  </w:style>
  <w:style w:type="character" w:customStyle="1" w:styleId="Heading5Char">
    <w:name w:val="Heading 5 Char"/>
    <w:basedOn w:val="DefaultParagraphFont"/>
    <w:link w:val="Heading5"/>
    <w:uiPriority w:val="9"/>
    <w:rsid w:val="009A533B"/>
    <w:rPr>
      <w:rFonts w:ascii="Segoe UI" w:eastAsiaTheme="majorEastAsia" w:hAnsi="Segoe UI" w:cs="Segoe UI"/>
      <w:caps/>
      <w:sz w:val="24"/>
      <w:szCs w:val="24"/>
    </w:rPr>
  </w:style>
  <w:style w:type="character" w:customStyle="1" w:styleId="Heading6Char">
    <w:name w:val="Heading 6 Char"/>
    <w:basedOn w:val="DefaultParagraphFont"/>
    <w:link w:val="Heading6"/>
    <w:uiPriority w:val="9"/>
    <w:rsid w:val="009A533B"/>
    <w:rPr>
      <w:rFonts w:ascii="Segoe UI" w:eastAsiaTheme="majorEastAsia" w:hAnsi="Segoe UI" w:cs="Segoe UI"/>
      <w:i/>
      <w:sz w:val="24"/>
      <w:szCs w:val="24"/>
    </w:rPr>
  </w:style>
  <w:style w:type="table" w:styleId="ListTable4-Accent6">
    <w:name w:val="List Table 4 Accent 6"/>
    <w:basedOn w:val="TableNormal"/>
    <w:uiPriority w:val="49"/>
    <w:rsid w:val="00B43E31"/>
    <w:pPr>
      <w:spacing w:after="0" w:line="240" w:lineRule="auto"/>
    </w:pPr>
    <w:tblPr>
      <w:tblStyleRowBandSize w:val="1"/>
      <w:tblStyleColBandSize w:val="1"/>
      <w:tblBorders>
        <w:top w:val="single" w:sz="4" w:space="0" w:color="C9ADAD" w:themeColor="accent6" w:themeTint="99"/>
        <w:left w:val="single" w:sz="4" w:space="0" w:color="C9ADAD" w:themeColor="accent6" w:themeTint="99"/>
        <w:bottom w:val="single" w:sz="4" w:space="0" w:color="C9ADAD" w:themeColor="accent6" w:themeTint="99"/>
        <w:right w:val="single" w:sz="4" w:space="0" w:color="C9ADAD" w:themeColor="accent6" w:themeTint="99"/>
        <w:insideH w:val="single" w:sz="4" w:space="0" w:color="C9ADAD" w:themeColor="accent6" w:themeTint="99"/>
      </w:tblBorders>
    </w:tblPr>
    <w:tblStylePr w:type="firstRow">
      <w:rPr>
        <w:b/>
        <w:bCs/>
        <w:color w:val="FFFFFF" w:themeColor="background1"/>
      </w:rPr>
      <w:tblPr/>
      <w:tcPr>
        <w:tcBorders>
          <w:top w:val="single" w:sz="4" w:space="0" w:color="A67777" w:themeColor="accent6"/>
          <w:left w:val="single" w:sz="4" w:space="0" w:color="A67777" w:themeColor="accent6"/>
          <w:bottom w:val="single" w:sz="4" w:space="0" w:color="A67777" w:themeColor="accent6"/>
          <w:right w:val="single" w:sz="4" w:space="0" w:color="A67777" w:themeColor="accent6"/>
          <w:insideH w:val="nil"/>
        </w:tcBorders>
        <w:shd w:val="clear" w:color="auto" w:fill="A67777" w:themeFill="accent6"/>
      </w:tcPr>
    </w:tblStylePr>
    <w:tblStylePr w:type="lastRow">
      <w:rPr>
        <w:b/>
        <w:bCs/>
      </w:rPr>
      <w:tblPr/>
      <w:tcPr>
        <w:tcBorders>
          <w:top w:val="double" w:sz="4" w:space="0" w:color="C9ADAD" w:themeColor="accent6" w:themeTint="99"/>
        </w:tcBorders>
      </w:tcPr>
    </w:tblStylePr>
    <w:tblStylePr w:type="firstCol">
      <w:rPr>
        <w:b/>
        <w:bCs/>
      </w:rPr>
    </w:tblStylePr>
    <w:tblStylePr w:type="lastCol">
      <w:rPr>
        <w:b/>
        <w:bCs/>
      </w:rPr>
    </w:tblStylePr>
    <w:tblStylePr w:type="band1Vert">
      <w:tblPr/>
      <w:tcPr>
        <w:shd w:val="clear" w:color="auto" w:fill="EDE3E3" w:themeFill="accent6" w:themeFillTint="33"/>
      </w:tcPr>
    </w:tblStylePr>
    <w:tblStylePr w:type="band1Horz">
      <w:tblPr/>
      <w:tcPr>
        <w:shd w:val="clear" w:color="auto" w:fill="EDE3E3" w:themeFill="accent6" w:themeFillTint="33"/>
      </w:tcPr>
    </w:tblStylePr>
  </w:style>
  <w:style w:type="paragraph" w:customStyle="1" w:styleId="TableText">
    <w:name w:val="Table Text"/>
    <w:basedOn w:val="Normal"/>
    <w:qFormat/>
    <w:rsid w:val="00144B98"/>
    <w:rPr>
      <w:sz w:val="20"/>
    </w:rPr>
  </w:style>
  <w:style w:type="character" w:customStyle="1" w:styleId="Heading7Char">
    <w:name w:val="Heading 7 Char"/>
    <w:basedOn w:val="DefaultParagraphFont"/>
    <w:link w:val="Heading7"/>
    <w:uiPriority w:val="9"/>
    <w:semiHidden/>
    <w:rsid w:val="00A344F6"/>
    <w:rPr>
      <w:rFonts w:asciiTheme="majorHAnsi" w:eastAsiaTheme="majorEastAsia" w:hAnsiTheme="majorHAnsi" w:cstheme="majorBidi"/>
      <w:i/>
      <w:iCs/>
      <w:color w:val="631017" w:themeColor="accent1" w:themeShade="7F"/>
    </w:rPr>
  </w:style>
  <w:style w:type="paragraph" w:styleId="ListParagraph">
    <w:name w:val="List Paragraph"/>
    <w:basedOn w:val="Normal"/>
    <w:uiPriority w:val="34"/>
    <w:qFormat/>
    <w:rsid w:val="0016227F"/>
    <w:pPr>
      <w:numPr>
        <w:numId w:val="1"/>
      </w:numPr>
    </w:pPr>
  </w:style>
  <w:style w:type="table" w:styleId="GridTable2-Accent2">
    <w:name w:val="Grid Table 2 Accent 2"/>
    <w:basedOn w:val="TableNormal"/>
    <w:uiPriority w:val="47"/>
    <w:rsid w:val="00CA754B"/>
    <w:pPr>
      <w:spacing w:after="0" w:line="240" w:lineRule="auto"/>
    </w:pPr>
    <w:tblPr>
      <w:tblStyleRowBandSize w:val="1"/>
      <w:tblStyleColBandSize w:val="1"/>
      <w:tblBorders>
        <w:top w:val="single" w:sz="2" w:space="0" w:color="6DC8E3" w:themeColor="accent2" w:themeTint="99"/>
        <w:bottom w:val="single" w:sz="2" w:space="0" w:color="6DC8E3" w:themeColor="accent2" w:themeTint="99"/>
        <w:insideH w:val="single" w:sz="2" w:space="0" w:color="6DC8E3" w:themeColor="accent2" w:themeTint="99"/>
        <w:insideV w:val="single" w:sz="2" w:space="0" w:color="6DC8E3" w:themeColor="accent2" w:themeTint="99"/>
      </w:tblBorders>
    </w:tblPr>
    <w:tblStylePr w:type="firstRow">
      <w:rPr>
        <w:b/>
        <w:bCs/>
      </w:rPr>
      <w:tblPr/>
      <w:tcPr>
        <w:tcBorders>
          <w:top w:val="nil"/>
          <w:bottom w:val="single" w:sz="12" w:space="0" w:color="6DC8E3" w:themeColor="accent2" w:themeTint="99"/>
          <w:insideH w:val="nil"/>
          <w:insideV w:val="nil"/>
        </w:tcBorders>
        <w:shd w:val="clear" w:color="auto" w:fill="FFFFFF" w:themeFill="background1"/>
      </w:tcPr>
    </w:tblStylePr>
    <w:tblStylePr w:type="lastRow">
      <w:rPr>
        <w:b/>
        <w:bCs/>
      </w:rPr>
      <w:tblPr/>
      <w:tcPr>
        <w:tcBorders>
          <w:top w:val="double" w:sz="2" w:space="0" w:color="6DC8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ECF6" w:themeFill="accent2" w:themeFillTint="33"/>
      </w:tcPr>
    </w:tblStylePr>
    <w:tblStylePr w:type="band1Horz">
      <w:tblPr/>
      <w:tcPr>
        <w:shd w:val="clear" w:color="auto" w:fill="CEECF6" w:themeFill="accent2" w:themeFillTint="33"/>
      </w:tcPr>
    </w:tblStylePr>
  </w:style>
  <w:style w:type="table" w:styleId="GridTable4-Accent2">
    <w:name w:val="Grid Table 4 Accent 2"/>
    <w:basedOn w:val="TableNormal"/>
    <w:uiPriority w:val="49"/>
    <w:rsid w:val="00CA754B"/>
    <w:pPr>
      <w:spacing w:after="0" w:line="240" w:lineRule="auto"/>
    </w:pPr>
    <w:tblPr>
      <w:tblStyleRowBandSize w:val="1"/>
      <w:tblStyleColBandSize w:val="1"/>
      <w:tblBorders>
        <w:top w:val="single" w:sz="4" w:space="0" w:color="6DC8E3" w:themeColor="accent2" w:themeTint="99"/>
        <w:left w:val="single" w:sz="4" w:space="0" w:color="6DC8E3" w:themeColor="accent2" w:themeTint="99"/>
        <w:bottom w:val="single" w:sz="4" w:space="0" w:color="6DC8E3" w:themeColor="accent2" w:themeTint="99"/>
        <w:right w:val="single" w:sz="4" w:space="0" w:color="6DC8E3" w:themeColor="accent2" w:themeTint="99"/>
        <w:insideH w:val="single" w:sz="4" w:space="0" w:color="6DC8E3" w:themeColor="accent2" w:themeTint="99"/>
        <w:insideV w:val="single" w:sz="4" w:space="0" w:color="6DC8E3" w:themeColor="accent2" w:themeTint="99"/>
      </w:tblBorders>
    </w:tblPr>
    <w:tblStylePr w:type="firstRow">
      <w:rPr>
        <w:b/>
        <w:bCs/>
        <w:color w:val="FFFFFF" w:themeColor="background1"/>
      </w:rPr>
      <w:tblPr/>
      <w:tcPr>
        <w:tcBorders>
          <w:top w:val="single" w:sz="4" w:space="0" w:color="2399BB" w:themeColor="accent2"/>
          <w:left w:val="single" w:sz="4" w:space="0" w:color="2399BB" w:themeColor="accent2"/>
          <w:bottom w:val="single" w:sz="4" w:space="0" w:color="2399BB" w:themeColor="accent2"/>
          <w:right w:val="single" w:sz="4" w:space="0" w:color="2399BB" w:themeColor="accent2"/>
          <w:insideH w:val="nil"/>
          <w:insideV w:val="nil"/>
        </w:tcBorders>
        <w:shd w:val="clear" w:color="auto" w:fill="2399BB" w:themeFill="accent2"/>
      </w:tcPr>
    </w:tblStylePr>
    <w:tblStylePr w:type="lastRow">
      <w:rPr>
        <w:b/>
        <w:bCs/>
      </w:rPr>
      <w:tblPr/>
      <w:tcPr>
        <w:tcBorders>
          <w:top w:val="double" w:sz="4" w:space="0" w:color="2399BB" w:themeColor="accent2"/>
        </w:tcBorders>
      </w:tcPr>
    </w:tblStylePr>
    <w:tblStylePr w:type="firstCol">
      <w:rPr>
        <w:b/>
        <w:bCs/>
      </w:rPr>
    </w:tblStylePr>
    <w:tblStylePr w:type="lastCol">
      <w:rPr>
        <w:b/>
        <w:bCs/>
      </w:rPr>
    </w:tblStylePr>
    <w:tblStylePr w:type="band1Vert">
      <w:tblPr/>
      <w:tcPr>
        <w:shd w:val="clear" w:color="auto" w:fill="CEECF6" w:themeFill="accent2" w:themeFillTint="33"/>
      </w:tcPr>
    </w:tblStylePr>
    <w:tblStylePr w:type="band1Horz">
      <w:tblPr/>
      <w:tcPr>
        <w:shd w:val="clear" w:color="auto" w:fill="CEECF6" w:themeFill="accent2" w:themeFillTint="33"/>
      </w:tcPr>
    </w:tblStylePr>
  </w:style>
  <w:style w:type="character" w:styleId="CommentReference">
    <w:name w:val="annotation reference"/>
    <w:basedOn w:val="DefaultParagraphFont"/>
    <w:uiPriority w:val="99"/>
    <w:semiHidden/>
    <w:unhideWhenUsed/>
    <w:rsid w:val="003A3ABB"/>
    <w:rPr>
      <w:sz w:val="16"/>
      <w:szCs w:val="16"/>
    </w:rPr>
  </w:style>
  <w:style w:type="paragraph" w:styleId="CommentText">
    <w:name w:val="annotation text"/>
    <w:basedOn w:val="Normal"/>
    <w:link w:val="CommentTextChar"/>
    <w:uiPriority w:val="99"/>
    <w:semiHidden/>
    <w:unhideWhenUsed/>
    <w:rsid w:val="003A3ABB"/>
    <w:rPr>
      <w:sz w:val="20"/>
      <w:szCs w:val="20"/>
    </w:rPr>
  </w:style>
  <w:style w:type="character" w:customStyle="1" w:styleId="CommentTextChar">
    <w:name w:val="Comment Text Char"/>
    <w:basedOn w:val="DefaultParagraphFont"/>
    <w:link w:val="CommentText"/>
    <w:uiPriority w:val="99"/>
    <w:semiHidden/>
    <w:rsid w:val="003A3ABB"/>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A3ABB"/>
    <w:rPr>
      <w:b/>
      <w:bCs/>
    </w:rPr>
  </w:style>
  <w:style w:type="character" w:customStyle="1" w:styleId="CommentSubjectChar">
    <w:name w:val="Comment Subject Char"/>
    <w:basedOn w:val="CommentTextChar"/>
    <w:link w:val="CommentSubject"/>
    <w:uiPriority w:val="99"/>
    <w:semiHidden/>
    <w:rsid w:val="003A3ABB"/>
    <w:rPr>
      <w:rFonts w:ascii="Segoe UI" w:hAnsi="Segoe UI"/>
      <w:b/>
      <w:bCs/>
      <w:sz w:val="20"/>
      <w:szCs w:val="20"/>
    </w:rPr>
  </w:style>
  <w:style w:type="paragraph" w:styleId="BalloonText">
    <w:name w:val="Balloon Text"/>
    <w:basedOn w:val="Normal"/>
    <w:link w:val="BalloonTextChar"/>
    <w:uiPriority w:val="99"/>
    <w:semiHidden/>
    <w:unhideWhenUsed/>
    <w:rsid w:val="003A3ABB"/>
    <w:pPr>
      <w:spacing w:after="0"/>
    </w:pPr>
    <w:rPr>
      <w:rFonts w:cs="Segoe UI"/>
      <w:sz w:val="18"/>
      <w:szCs w:val="18"/>
    </w:rPr>
  </w:style>
  <w:style w:type="character" w:customStyle="1" w:styleId="BalloonTextChar">
    <w:name w:val="Balloon Text Char"/>
    <w:basedOn w:val="DefaultParagraphFont"/>
    <w:link w:val="BalloonText"/>
    <w:uiPriority w:val="99"/>
    <w:semiHidden/>
    <w:rsid w:val="003A3ABB"/>
    <w:rPr>
      <w:rFonts w:ascii="Segoe UI" w:hAnsi="Segoe UI" w:cs="Segoe UI"/>
      <w:sz w:val="18"/>
      <w:szCs w:val="18"/>
    </w:rPr>
  </w:style>
  <w:style w:type="paragraph" w:customStyle="1" w:styleId="PageHeader">
    <w:name w:val="Page Header"/>
    <w:basedOn w:val="Heading4"/>
    <w:qFormat/>
    <w:rsid w:val="00D36FC3"/>
    <w:pPr>
      <w:spacing w:before="0" w:after="0"/>
      <w:jc w:val="center"/>
    </w:pPr>
    <w:rPr>
      <w:rFonts w:ascii="Segoe UI" w:eastAsia="Times New Roman" w:hAnsi="Segoe UI" w:cs="Segoe UI"/>
      <w:color w:val="2A363B"/>
    </w:rPr>
  </w:style>
  <w:style w:type="paragraph" w:customStyle="1" w:styleId="PageSubheader">
    <w:name w:val="Page Subheader"/>
    <w:basedOn w:val="PageHeader"/>
    <w:rsid w:val="002E790C"/>
    <w:rPr>
      <w:rFonts w:ascii="Segoe UI Semibold" w:hAnsi="Segoe UI Semibold" w:cs="Segoe UI Semibold"/>
      <w:b w:val="0"/>
      <w:bCs/>
      <w:iCs w:val="0"/>
      <w:caps w:val="0"/>
    </w:rPr>
  </w:style>
  <w:style w:type="paragraph" w:styleId="Revision">
    <w:name w:val="Revision"/>
    <w:hidden/>
    <w:uiPriority w:val="99"/>
    <w:semiHidden/>
    <w:rsid w:val="00D31DB1"/>
    <w:pPr>
      <w:spacing w:after="0" w:line="240" w:lineRule="auto"/>
    </w:pPr>
    <w:rPr>
      <w:rFonts w:ascii="Segoe UI" w:hAnsi="Segoe UI"/>
    </w:rPr>
  </w:style>
  <w:style w:type="paragraph" w:customStyle="1" w:styleId="paragraph">
    <w:name w:val="paragraph"/>
    <w:basedOn w:val="Normal"/>
    <w:rsid w:val="00D31DB1"/>
    <w:pPr>
      <w:tabs>
        <w:tab w:val="clear" w:pos="2431"/>
      </w:tabs>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31DB1"/>
  </w:style>
  <w:style w:type="character" w:customStyle="1" w:styleId="eop">
    <w:name w:val="eop"/>
    <w:basedOn w:val="DefaultParagraphFont"/>
    <w:rsid w:val="00D31DB1"/>
  </w:style>
  <w:style w:type="paragraph" w:styleId="FootnoteText">
    <w:name w:val="footnote text"/>
    <w:basedOn w:val="Normal"/>
    <w:link w:val="FootnoteTextChar"/>
    <w:semiHidden/>
    <w:unhideWhenUsed/>
    <w:rsid w:val="00F01A25"/>
    <w:pPr>
      <w:spacing w:after="0"/>
    </w:pPr>
    <w:rPr>
      <w:sz w:val="20"/>
      <w:szCs w:val="20"/>
    </w:rPr>
  </w:style>
  <w:style w:type="character" w:customStyle="1" w:styleId="FootnoteTextChar">
    <w:name w:val="Footnote Text Char"/>
    <w:basedOn w:val="DefaultParagraphFont"/>
    <w:link w:val="FootnoteText"/>
    <w:semiHidden/>
    <w:rsid w:val="00F01A25"/>
    <w:rPr>
      <w:rFonts w:ascii="Segoe UI" w:hAnsi="Segoe UI"/>
      <w:sz w:val="20"/>
      <w:szCs w:val="20"/>
    </w:rPr>
  </w:style>
  <w:style w:type="character" w:styleId="FootnoteReference">
    <w:name w:val="footnote reference"/>
    <w:basedOn w:val="DefaultParagraphFont"/>
    <w:semiHidden/>
    <w:unhideWhenUsed/>
    <w:rsid w:val="00F01A25"/>
    <w:rPr>
      <w:vertAlign w:val="superscript"/>
    </w:rPr>
  </w:style>
  <w:style w:type="paragraph" w:styleId="NormalWeb">
    <w:name w:val="Normal (Web)"/>
    <w:basedOn w:val="Normal"/>
    <w:uiPriority w:val="99"/>
    <w:unhideWhenUsed/>
    <w:rsid w:val="00896BB9"/>
    <w:pPr>
      <w:tabs>
        <w:tab w:val="clear" w:pos="2431"/>
      </w:tabs>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814">
      <w:bodyDiv w:val="1"/>
      <w:marLeft w:val="0"/>
      <w:marRight w:val="0"/>
      <w:marTop w:val="0"/>
      <w:marBottom w:val="0"/>
      <w:divBdr>
        <w:top w:val="none" w:sz="0" w:space="0" w:color="auto"/>
        <w:left w:val="none" w:sz="0" w:space="0" w:color="auto"/>
        <w:bottom w:val="none" w:sz="0" w:space="0" w:color="auto"/>
        <w:right w:val="none" w:sz="0" w:space="0" w:color="auto"/>
      </w:divBdr>
      <w:divsChild>
        <w:div w:id="78409205">
          <w:marLeft w:val="547"/>
          <w:marRight w:val="0"/>
          <w:marTop w:val="240"/>
          <w:marBottom w:val="120"/>
          <w:divBdr>
            <w:top w:val="none" w:sz="0" w:space="0" w:color="auto"/>
            <w:left w:val="none" w:sz="0" w:space="0" w:color="auto"/>
            <w:bottom w:val="none" w:sz="0" w:space="0" w:color="auto"/>
            <w:right w:val="none" w:sz="0" w:space="0" w:color="auto"/>
          </w:divBdr>
        </w:div>
      </w:divsChild>
    </w:div>
    <w:div w:id="293142596">
      <w:bodyDiv w:val="1"/>
      <w:marLeft w:val="0"/>
      <w:marRight w:val="0"/>
      <w:marTop w:val="0"/>
      <w:marBottom w:val="0"/>
      <w:divBdr>
        <w:top w:val="none" w:sz="0" w:space="0" w:color="auto"/>
        <w:left w:val="none" w:sz="0" w:space="0" w:color="auto"/>
        <w:bottom w:val="none" w:sz="0" w:space="0" w:color="auto"/>
        <w:right w:val="none" w:sz="0" w:space="0" w:color="auto"/>
      </w:divBdr>
      <w:divsChild>
        <w:div w:id="1027826652">
          <w:marLeft w:val="806"/>
          <w:marRight w:val="0"/>
          <w:marTop w:val="120"/>
          <w:marBottom w:val="40"/>
          <w:divBdr>
            <w:top w:val="none" w:sz="0" w:space="0" w:color="auto"/>
            <w:left w:val="none" w:sz="0" w:space="0" w:color="auto"/>
            <w:bottom w:val="none" w:sz="0" w:space="0" w:color="auto"/>
            <w:right w:val="none" w:sz="0" w:space="0" w:color="auto"/>
          </w:divBdr>
        </w:div>
      </w:divsChild>
    </w:div>
    <w:div w:id="777022944">
      <w:bodyDiv w:val="1"/>
      <w:marLeft w:val="0"/>
      <w:marRight w:val="0"/>
      <w:marTop w:val="0"/>
      <w:marBottom w:val="0"/>
      <w:divBdr>
        <w:top w:val="none" w:sz="0" w:space="0" w:color="auto"/>
        <w:left w:val="none" w:sz="0" w:space="0" w:color="auto"/>
        <w:bottom w:val="none" w:sz="0" w:space="0" w:color="auto"/>
        <w:right w:val="none" w:sz="0" w:space="0" w:color="auto"/>
      </w:divBdr>
      <w:divsChild>
        <w:div w:id="337124577">
          <w:marLeft w:val="547"/>
          <w:marRight w:val="0"/>
          <w:marTop w:val="240"/>
          <w:marBottom w:val="120"/>
          <w:divBdr>
            <w:top w:val="none" w:sz="0" w:space="0" w:color="auto"/>
            <w:left w:val="none" w:sz="0" w:space="0" w:color="auto"/>
            <w:bottom w:val="none" w:sz="0" w:space="0" w:color="auto"/>
            <w:right w:val="none" w:sz="0" w:space="0" w:color="auto"/>
          </w:divBdr>
        </w:div>
        <w:div w:id="1568566585">
          <w:marLeft w:val="547"/>
          <w:marRight w:val="0"/>
          <w:marTop w:val="240"/>
          <w:marBottom w:val="120"/>
          <w:divBdr>
            <w:top w:val="none" w:sz="0" w:space="0" w:color="auto"/>
            <w:left w:val="none" w:sz="0" w:space="0" w:color="auto"/>
            <w:bottom w:val="none" w:sz="0" w:space="0" w:color="auto"/>
            <w:right w:val="none" w:sz="0" w:space="0" w:color="auto"/>
          </w:divBdr>
        </w:div>
        <w:div w:id="1729496852">
          <w:marLeft w:val="806"/>
          <w:marRight w:val="0"/>
          <w:marTop w:val="120"/>
          <w:marBottom w:val="40"/>
          <w:divBdr>
            <w:top w:val="none" w:sz="0" w:space="0" w:color="auto"/>
            <w:left w:val="none" w:sz="0" w:space="0" w:color="auto"/>
            <w:bottom w:val="none" w:sz="0" w:space="0" w:color="auto"/>
            <w:right w:val="none" w:sz="0" w:space="0" w:color="auto"/>
          </w:divBdr>
        </w:div>
        <w:div w:id="1480460302">
          <w:marLeft w:val="806"/>
          <w:marRight w:val="0"/>
          <w:marTop w:val="120"/>
          <w:marBottom w:val="40"/>
          <w:divBdr>
            <w:top w:val="none" w:sz="0" w:space="0" w:color="auto"/>
            <w:left w:val="none" w:sz="0" w:space="0" w:color="auto"/>
            <w:bottom w:val="none" w:sz="0" w:space="0" w:color="auto"/>
            <w:right w:val="none" w:sz="0" w:space="0" w:color="auto"/>
          </w:divBdr>
        </w:div>
        <w:div w:id="1034236445">
          <w:marLeft w:val="806"/>
          <w:marRight w:val="0"/>
          <w:marTop w:val="120"/>
          <w:marBottom w:val="40"/>
          <w:divBdr>
            <w:top w:val="none" w:sz="0" w:space="0" w:color="auto"/>
            <w:left w:val="none" w:sz="0" w:space="0" w:color="auto"/>
            <w:bottom w:val="none" w:sz="0" w:space="0" w:color="auto"/>
            <w:right w:val="none" w:sz="0" w:space="0" w:color="auto"/>
          </w:divBdr>
        </w:div>
        <w:div w:id="508063479">
          <w:marLeft w:val="547"/>
          <w:marRight w:val="0"/>
          <w:marTop w:val="240"/>
          <w:marBottom w:val="120"/>
          <w:divBdr>
            <w:top w:val="none" w:sz="0" w:space="0" w:color="auto"/>
            <w:left w:val="none" w:sz="0" w:space="0" w:color="auto"/>
            <w:bottom w:val="none" w:sz="0" w:space="0" w:color="auto"/>
            <w:right w:val="none" w:sz="0" w:space="0" w:color="auto"/>
          </w:divBdr>
        </w:div>
      </w:divsChild>
    </w:div>
    <w:div w:id="950430952">
      <w:bodyDiv w:val="1"/>
      <w:marLeft w:val="0"/>
      <w:marRight w:val="0"/>
      <w:marTop w:val="0"/>
      <w:marBottom w:val="0"/>
      <w:divBdr>
        <w:top w:val="none" w:sz="0" w:space="0" w:color="auto"/>
        <w:left w:val="none" w:sz="0" w:space="0" w:color="auto"/>
        <w:bottom w:val="none" w:sz="0" w:space="0" w:color="auto"/>
        <w:right w:val="none" w:sz="0" w:space="0" w:color="auto"/>
      </w:divBdr>
    </w:div>
    <w:div w:id="991326078">
      <w:bodyDiv w:val="1"/>
      <w:marLeft w:val="0"/>
      <w:marRight w:val="0"/>
      <w:marTop w:val="0"/>
      <w:marBottom w:val="0"/>
      <w:divBdr>
        <w:top w:val="none" w:sz="0" w:space="0" w:color="auto"/>
        <w:left w:val="none" w:sz="0" w:space="0" w:color="auto"/>
        <w:bottom w:val="none" w:sz="0" w:space="0" w:color="auto"/>
        <w:right w:val="none" w:sz="0" w:space="0" w:color="auto"/>
      </w:divBdr>
    </w:div>
    <w:div w:id="1163008200">
      <w:bodyDiv w:val="1"/>
      <w:marLeft w:val="0"/>
      <w:marRight w:val="0"/>
      <w:marTop w:val="0"/>
      <w:marBottom w:val="0"/>
      <w:divBdr>
        <w:top w:val="none" w:sz="0" w:space="0" w:color="auto"/>
        <w:left w:val="none" w:sz="0" w:space="0" w:color="auto"/>
        <w:bottom w:val="none" w:sz="0" w:space="0" w:color="auto"/>
        <w:right w:val="none" w:sz="0" w:space="0" w:color="auto"/>
      </w:divBdr>
    </w:div>
    <w:div w:id="1366297989">
      <w:bodyDiv w:val="1"/>
      <w:marLeft w:val="0"/>
      <w:marRight w:val="0"/>
      <w:marTop w:val="0"/>
      <w:marBottom w:val="0"/>
      <w:divBdr>
        <w:top w:val="none" w:sz="0" w:space="0" w:color="auto"/>
        <w:left w:val="none" w:sz="0" w:space="0" w:color="auto"/>
        <w:bottom w:val="none" w:sz="0" w:space="0" w:color="auto"/>
        <w:right w:val="none" w:sz="0" w:space="0" w:color="auto"/>
      </w:divBdr>
    </w:div>
    <w:div w:id="1377775818">
      <w:bodyDiv w:val="1"/>
      <w:marLeft w:val="0"/>
      <w:marRight w:val="0"/>
      <w:marTop w:val="0"/>
      <w:marBottom w:val="0"/>
      <w:divBdr>
        <w:top w:val="none" w:sz="0" w:space="0" w:color="auto"/>
        <w:left w:val="none" w:sz="0" w:space="0" w:color="auto"/>
        <w:bottom w:val="none" w:sz="0" w:space="0" w:color="auto"/>
        <w:right w:val="none" w:sz="0" w:space="0" w:color="auto"/>
      </w:divBdr>
    </w:div>
    <w:div w:id="1377852149">
      <w:bodyDiv w:val="1"/>
      <w:marLeft w:val="0"/>
      <w:marRight w:val="0"/>
      <w:marTop w:val="0"/>
      <w:marBottom w:val="0"/>
      <w:divBdr>
        <w:top w:val="none" w:sz="0" w:space="0" w:color="auto"/>
        <w:left w:val="none" w:sz="0" w:space="0" w:color="auto"/>
        <w:bottom w:val="none" w:sz="0" w:space="0" w:color="auto"/>
        <w:right w:val="none" w:sz="0" w:space="0" w:color="auto"/>
      </w:divBdr>
      <w:divsChild>
        <w:div w:id="1467970203">
          <w:marLeft w:val="547"/>
          <w:marRight w:val="0"/>
          <w:marTop w:val="240"/>
          <w:marBottom w:val="120"/>
          <w:divBdr>
            <w:top w:val="none" w:sz="0" w:space="0" w:color="auto"/>
            <w:left w:val="none" w:sz="0" w:space="0" w:color="auto"/>
            <w:bottom w:val="none" w:sz="0" w:space="0" w:color="auto"/>
            <w:right w:val="none" w:sz="0" w:space="0" w:color="auto"/>
          </w:divBdr>
        </w:div>
      </w:divsChild>
    </w:div>
    <w:div w:id="1459031172">
      <w:bodyDiv w:val="1"/>
      <w:marLeft w:val="0"/>
      <w:marRight w:val="0"/>
      <w:marTop w:val="0"/>
      <w:marBottom w:val="0"/>
      <w:divBdr>
        <w:top w:val="none" w:sz="0" w:space="0" w:color="auto"/>
        <w:left w:val="none" w:sz="0" w:space="0" w:color="auto"/>
        <w:bottom w:val="none" w:sz="0" w:space="0" w:color="auto"/>
        <w:right w:val="none" w:sz="0" w:space="0" w:color="auto"/>
      </w:divBdr>
    </w:div>
    <w:div w:id="1644382365">
      <w:bodyDiv w:val="1"/>
      <w:marLeft w:val="0"/>
      <w:marRight w:val="0"/>
      <w:marTop w:val="0"/>
      <w:marBottom w:val="0"/>
      <w:divBdr>
        <w:top w:val="none" w:sz="0" w:space="0" w:color="auto"/>
        <w:left w:val="none" w:sz="0" w:space="0" w:color="auto"/>
        <w:bottom w:val="none" w:sz="0" w:space="0" w:color="auto"/>
        <w:right w:val="none" w:sz="0" w:space="0" w:color="auto"/>
      </w:divBdr>
    </w:div>
    <w:div w:id="1829324060">
      <w:bodyDiv w:val="1"/>
      <w:marLeft w:val="0"/>
      <w:marRight w:val="0"/>
      <w:marTop w:val="0"/>
      <w:marBottom w:val="0"/>
      <w:divBdr>
        <w:top w:val="none" w:sz="0" w:space="0" w:color="auto"/>
        <w:left w:val="none" w:sz="0" w:space="0" w:color="auto"/>
        <w:bottom w:val="none" w:sz="0" w:space="0" w:color="auto"/>
        <w:right w:val="none" w:sz="0" w:space="0" w:color="auto"/>
      </w:divBdr>
    </w:div>
    <w:div w:id="1974216753">
      <w:bodyDiv w:val="1"/>
      <w:marLeft w:val="0"/>
      <w:marRight w:val="0"/>
      <w:marTop w:val="0"/>
      <w:marBottom w:val="0"/>
      <w:divBdr>
        <w:top w:val="none" w:sz="0" w:space="0" w:color="auto"/>
        <w:left w:val="none" w:sz="0" w:space="0" w:color="auto"/>
        <w:bottom w:val="none" w:sz="0" w:space="0" w:color="auto"/>
        <w:right w:val="none" w:sz="0" w:space="0" w:color="auto"/>
      </w:divBdr>
      <w:divsChild>
        <w:div w:id="265234328">
          <w:marLeft w:val="806"/>
          <w:marRight w:val="0"/>
          <w:marTop w:val="120"/>
          <w:marBottom w:val="40"/>
          <w:divBdr>
            <w:top w:val="none" w:sz="0" w:space="0" w:color="auto"/>
            <w:left w:val="none" w:sz="0" w:space="0" w:color="auto"/>
            <w:bottom w:val="none" w:sz="0" w:space="0" w:color="auto"/>
            <w:right w:val="none" w:sz="0" w:space="0" w:color="auto"/>
          </w:divBdr>
        </w:div>
      </w:divsChild>
    </w:div>
    <w:div w:id="2020039855">
      <w:bodyDiv w:val="1"/>
      <w:marLeft w:val="0"/>
      <w:marRight w:val="0"/>
      <w:marTop w:val="0"/>
      <w:marBottom w:val="0"/>
      <w:divBdr>
        <w:top w:val="none" w:sz="0" w:space="0" w:color="auto"/>
        <w:left w:val="none" w:sz="0" w:space="0" w:color="auto"/>
        <w:bottom w:val="none" w:sz="0" w:space="0" w:color="auto"/>
        <w:right w:val="none" w:sz="0" w:space="0" w:color="auto"/>
      </w:divBdr>
      <w:divsChild>
        <w:div w:id="1325012493">
          <w:marLeft w:val="806"/>
          <w:marRight w:val="0"/>
          <w:marTop w:val="120"/>
          <w:marBottom w:val="40"/>
          <w:divBdr>
            <w:top w:val="none" w:sz="0" w:space="0" w:color="auto"/>
            <w:left w:val="none" w:sz="0" w:space="0" w:color="auto"/>
            <w:bottom w:val="none" w:sz="0" w:space="0" w:color="auto"/>
            <w:right w:val="none" w:sz="0" w:space="0" w:color="auto"/>
          </w:divBdr>
        </w:div>
      </w:divsChild>
    </w:div>
    <w:div w:id="203515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p0506\Downloads\Report+Template+20190913.dotx" TargetMode="External"/></Relationships>
</file>

<file path=word/theme/theme1.xml><?xml version="1.0" encoding="utf-8"?>
<a:theme xmlns:a="http://schemas.openxmlformats.org/drawingml/2006/main" name="Office Theme">
  <a:themeElements>
    <a:clrScheme name="SPP Official Branding">
      <a:dk1>
        <a:srgbClr val="2A363B"/>
      </a:dk1>
      <a:lt1>
        <a:sysClr val="window" lastClr="FFFFFF"/>
      </a:lt1>
      <a:dk2>
        <a:srgbClr val="5A6770"/>
      </a:dk2>
      <a:lt2>
        <a:srgbClr val="E7E6E6"/>
      </a:lt2>
      <a:accent1>
        <a:srgbClr val="C7202F"/>
      </a:accent1>
      <a:accent2>
        <a:srgbClr val="2399BB"/>
      </a:accent2>
      <a:accent3>
        <a:srgbClr val="1FBF92"/>
      </a:accent3>
      <a:accent4>
        <a:srgbClr val="FBAB18"/>
      </a:accent4>
      <a:accent5>
        <a:srgbClr val="A142C0"/>
      </a:accent5>
      <a:accent6>
        <a:srgbClr val="A67777"/>
      </a:accent6>
      <a:hlink>
        <a:srgbClr val="2399BB"/>
      </a:hlink>
      <a:folHlink>
        <a:srgbClr val="FBAB1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11FAF8A1C16249AFF212114CC1E581" ma:contentTypeVersion="7" ma:contentTypeDescription="Create a new document." ma:contentTypeScope="" ma:versionID="d2c7c5b9050bc348b0f75906d20c36c0">
  <xsd:schema xmlns:xsd="http://www.w3.org/2001/XMLSchema" xmlns:xs="http://www.w3.org/2001/XMLSchema" xmlns:p="http://schemas.microsoft.com/office/2006/metadata/properties" xmlns:ns1="http://schemas.microsoft.com/sharepoint/v3" xmlns:ns2="e229ac63-e010-4dad-853f-6de8bb73caa9" targetNamespace="http://schemas.microsoft.com/office/2006/metadata/properties" ma:root="true" ma:fieldsID="56f774cafbf116e0cc6b32c17ddbebdb" ns1:_="" ns2:_="">
    <xsd:import namespace="http://schemas.microsoft.com/sharepoint/v3"/>
    <xsd:import namespace="e229ac63-e010-4dad-853f-6de8bb73c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29ac63-e010-4dad-853f-6de8bb73c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AD392-CB3F-4B9C-9C63-9F42EDF6AB04}">
  <ds:schemaRefs>
    <ds:schemaRef ds:uri="http://schemas.openxmlformats.org/officeDocument/2006/bibliography"/>
  </ds:schemaRefs>
</ds:datastoreItem>
</file>

<file path=customXml/itemProps2.xml><?xml version="1.0" encoding="utf-8"?>
<ds:datastoreItem xmlns:ds="http://schemas.openxmlformats.org/officeDocument/2006/customXml" ds:itemID="{26F7056E-A320-4E6C-8D59-9AAE84D6E50A}">
  <ds:schemaRefs>
    <ds:schemaRef ds:uri="http://schemas.microsoft.com/sharepoint/v3/contenttype/forms"/>
  </ds:schemaRefs>
</ds:datastoreItem>
</file>

<file path=customXml/itemProps3.xml><?xml version="1.0" encoding="utf-8"?>
<ds:datastoreItem xmlns:ds="http://schemas.openxmlformats.org/officeDocument/2006/customXml" ds:itemID="{C7AAE43D-1242-424F-B889-791CD229A3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61866C2-84E1-408C-BD6B-FEE9D64E9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29ac63-e010-4dad-853f-6de8bb73c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692091-66b8-45b5-9087-387cbcef98ca}" enabled="1" method="Privileged" siteId="{3230926a-71b7-4370-a137-197badc066a2}" removed="0"/>
</clbl:labelList>
</file>

<file path=docProps/app.xml><?xml version="1.0" encoding="utf-8"?>
<Properties xmlns="http://schemas.openxmlformats.org/officeDocument/2006/extended-properties" xmlns:vt="http://schemas.openxmlformats.org/officeDocument/2006/docPropsVTypes">
  <Template>Report+Template+20190913</Template>
  <TotalTime>0</TotalTime>
  <Pages>5</Pages>
  <Words>869</Words>
  <Characters>4911</Characters>
  <Application>Microsoft Office Word</Application>
  <DocSecurity>0</DocSecurity>
  <Lines>158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Pennel</dc:creator>
  <cp:keywords/>
  <dc:description/>
  <cp:lastModifiedBy>Ken Sands</cp:lastModifiedBy>
  <cp:revision>2</cp:revision>
  <dcterms:created xsi:type="dcterms:W3CDTF">2026-01-19T22:20:00Z</dcterms:created>
  <dcterms:modified xsi:type="dcterms:W3CDTF">2026-01-19T22:20:00Z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0x0101009111FAF8A1C16249AFF212114CC1E581</vt:lpwstr>
  </property>
</Properties>
</file>