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46F8" w14:textId="6C76BCD5" w:rsidR="00A83C37" w:rsidRDefault="00203847" w:rsidP="00A344F6">
      <w:pPr>
        <w:pStyle w:val="TableHeader"/>
        <w:sectPr w:rsidR="00A83C37" w:rsidSect="00641DC0">
          <w:pgSz w:w="12240" w:h="15840"/>
          <w:pgMar w:top="1440" w:right="1440" w:bottom="1440" w:left="1440" w:header="720" w:footer="720" w:gutter="0"/>
          <w:cols w:space="720"/>
          <w:docGrid w:linePitch="360"/>
        </w:sectPr>
      </w:pPr>
      <w:r w:rsidRPr="009A533B">
        <w:rPr>
          <w:noProof/>
        </w:rPr>
        <mc:AlternateContent>
          <mc:Choice Requires="wps">
            <w:drawing>
              <wp:anchor distT="0" distB="0" distL="114300" distR="114300" simplePos="0" relativeHeight="251658242" behindDoc="0" locked="0" layoutInCell="1" allowOverlap="1" wp14:anchorId="07C4FCD9" wp14:editId="5506A56C">
                <wp:simplePos x="0" y="0"/>
                <wp:positionH relativeFrom="margin">
                  <wp:posOffset>180974</wp:posOffset>
                </wp:positionH>
                <wp:positionV relativeFrom="margin">
                  <wp:posOffset>6800850</wp:posOffset>
                </wp:positionV>
                <wp:extent cx="5267325" cy="1533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267325" cy="153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F8EFC" w14:textId="5CC164E0" w:rsidR="005A5668" w:rsidRDefault="00E9663D" w:rsidP="00E9663D">
                            <w:r>
                              <w:t xml:space="preserve">By </w:t>
                            </w:r>
                            <w:r w:rsidR="00AE4AAD">
                              <w:t>Amanda</w:t>
                            </w:r>
                            <w:r w:rsidR="008C1C38">
                              <w:t xml:space="preserve"> Harker Steele</w:t>
                            </w:r>
                            <w:r w:rsidR="00F46C6A">
                              <w:t xml:space="preserve">, </w:t>
                            </w:r>
                            <w:r w:rsidR="00203847">
                              <w:t xml:space="preserve">Kirby </w:t>
                            </w:r>
                            <w:r w:rsidR="00203847" w:rsidRPr="00203847">
                              <w:t>Willis</w:t>
                            </w:r>
                            <w:r w:rsidR="00203847">
                              <w:t>,</w:t>
                            </w:r>
                            <w:r w:rsidR="00F46C6A">
                              <w:t xml:space="preserve"> Michael</w:t>
                            </w:r>
                            <w:r w:rsidR="00FB453E">
                              <w:t xml:space="preserve"> M</w:t>
                            </w:r>
                            <w:r w:rsidR="00203847">
                              <w:t>cCann</w:t>
                            </w:r>
                            <w:r w:rsidR="00F46C6A">
                              <w:t xml:space="preserve"> and Drew </w:t>
                            </w:r>
                            <w:r w:rsidR="00212CDA">
                              <w:t>McGilvray</w:t>
                            </w:r>
                          </w:p>
                          <w:p w14:paraId="44BE8776" w14:textId="1BDE9C80" w:rsidR="00637868" w:rsidRPr="00C736D5" w:rsidRDefault="009402BE" w:rsidP="00E9663D">
                            <w:pPr>
                              <w:rPr>
                                <w:highlight w:val="yellow"/>
                              </w:rPr>
                            </w:pPr>
                            <w:r w:rsidRPr="00637868">
                              <w:t>Published</w:t>
                            </w:r>
                            <w:r w:rsidR="00637868" w:rsidRPr="00637868">
                              <w:t xml:space="preserve"> on 17 December 2025</w:t>
                            </w:r>
                          </w:p>
                          <w:p w14:paraId="30D01D26" w14:textId="2DB22A84" w:rsidR="009A533B" w:rsidRDefault="009A533B" w:rsidP="009A533B">
                            <w:r>
                              <w:t xml:space="preserve">Version </w:t>
                            </w:r>
                            <w:r w:rsidR="00AE4AAD">
                              <w:t>1</w:t>
                            </w:r>
                          </w:p>
                          <w:p w14:paraId="3AFB04E9" w14:textId="77777777" w:rsidR="009A533B" w:rsidRPr="00A9550B" w:rsidRDefault="009A533B" w:rsidP="009A5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4FCD9" id="_x0000_t202" coordsize="21600,21600" o:spt="202" path="m,l,21600r21600,l21600,xe">
                <v:stroke joinstyle="miter"/>
                <v:path gradientshapeok="t" o:connecttype="rect"/>
              </v:shapetype>
              <v:shape id="Text Box 3" o:spid="_x0000_s1026" type="#_x0000_t202" style="position:absolute;left:0;text-align:left;margin-left:14.25pt;margin-top:535.5pt;width:414.75pt;height:120.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" fillcolor="white [3201]" stroked="f" strokeweight=".5pt">
                <v:textbox>
                  <w:txbxContent>
                    <w:p w14:paraId="45DF8EFC" w14:textId="5CC164E0" w:rsidR="005A5668" w:rsidRDefault="00E9663D" w:rsidP="00E9663D">
                      <w:r>
                        <w:t xml:space="preserve">By </w:t>
                      </w:r>
                      <w:r w:rsidR="00AE4AAD">
                        <w:t>Amanda</w:t>
                      </w:r>
                      <w:r w:rsidR="008C1C38">
                        <w:t xml:space="preserve"> Harker Steele</w:t>
                      </w:r>
                      <w:r w:rsidR="00F46C6A">
                        <w:t xml:space="preserve">, </w:t>
                      </w:r>
                      <w:r w:rsidR="00203847">
                        <w:t xml:space="preserve">Kirby </w:t>
                      </w:r>
                      <w:r w:rsidR="00203847" w:rsidRPr="00203847">
                        <w:t>Willis</w:t>
                      </w:r>
                      <w:r w:rsidR="00203847">
                        <w:t>,</w:t>
                      </w:r>
                      <w:r w:rsidR="00F46C6A">
                        <w:t xml:space="preserve"> Michael</w:t>
                      </w:r>
                      <w:r w:rsidR="00FB453E">
                        <w:t xml:space="preserve"> M</w:t>
                      </w:r>
                      <w:r w:rsidR="00203847">
                        <w:t>cCann</w:t>
                      </w:r>
                      <w:r w:rsidR="00F46C6A">
                        <w:t xml:space="preserve"> and Drew </w:t>
                      </w:r>
                      <w:r w:rsidR="00212CDA">
                        <w:t>McGilvray</w:t>
                      </w:r>
                    </w:p>
                    <w:p w14:paraId="44BE8776" w14:textId="1BDE9C80" w:rsidR="00637868" w:rsidRPr="00C736D5" w:rsidRDefault="009402BE" w:rsidP="00E9663D">
                      <w:pPr>
                        <w:rPr>
                          <w:highlight w:val="yellow"/>
                        </w:rPr>
                      </w:pPr>
                      <w:r w:rsidRPr="00637868">
                        <w:t>Published</w:t>
                      </w:r>
                      <w:r w:rsidR="00637868" w:rsidRPr="00637868">
                        <w:t xml:space="preserve"> on 17 December 2025</w:t>
                      </w:r>
                    </w:p>
                    <w:p w14:paraId="30D01D26" w14:textId="2DB22A84" w:rsidR="009A533B" w:rsidRDefault="009A533B" w:rsidP="009A533B">
                      <w:r>
                        <w:t xml:space="preserve">Version </w:t>
                      </w:r>
                      <w:r w:rsidR="00AE4AAD">
                        <w:t>1</w:t>
                      </w:r>
                    </w:p>
                    <w:p w14:paraId="3AFB04E9" w14:textId="77777777" w:rsidR="009A533B" w:rsidRPr="00A9550B" w:rsidRDefault="009A533B" w:rsidP="009A533B"/>
                  </w:txbxContent>
                </v:textbox>
                <w10:wrap anchorx="margin" anchory="margin"/>
              </v:shape>
            </w:pict>
          </mc:Fallback>
        </mc:AlternateContent>
      </w:r>
      <w:r w:rsidR="00AE4AAD" w:rsidRPr="009A533B">
        <w:rPr>
          <w:noProof/>
        </w:rPr>
        <mc:AlternateContent>
          <mc:Choice Requires="wps">
            <w:drawing>
              <wp:anchor distT="0" distB="0" distL="114300" distR="114300" simplePos="0" relativeHeight="251658241" behindDoc="0" locked="0" layoutInCell="1" allowOverlap="1" wp14:anchorId="3C5DDE71" wp14:editId="20BB4CDE">
                <wp:simplePos x="0" y="0"/>
                <wp:positionH relativeFrom="margin">
                  <wp:align>center</wp:align>
                </wp:positionH>
                <wp:positionV relativeFrom="margin">
                  <wp:posOffset>1790700</wp:posOffset>
                </wp:positionV>
                <wp:extent cx="5686425" cy="27254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86425" cy="27259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DB663" w14:textId="452CB811" w:rsidR="009A533B" w:rsidRPr="003A0A76" w:rsidRDefault="00473BD7" w:rsidP="009A533B">
                            <w:pPr>
                              <w:pStyle w:val="Title"/>
                            </w:pPr>
                            <w:r>
                              <w:t xml:space="preserve">RTOE </w:t>
                            </w:r>
                            <w:r w:rsidR="00AE4AAD">
                              <w:t xml:space="preserve">Trading Hub Analysis </w:t>
                            </w:r>
                            <w:r>
                              <w:t xml:space="preserve">– </w:t>
                            </w:r>
                            <w:r w:rsidR="00C30743">
                              <w:t>SWPW_HUB</w:t>
                            </w:r>
                            <w:r w:rsidR="00AE4AAD">
                              <w:t xml:space="preserve"> </w:t>
                            </w:r>
                          </w:p>
                          <w:p w14:paraId="309AC03E" w14:textId="40203B92" w:rsidR="009A533B" w:rsidRPr="003A0A76" w:rsidRDefault="00AE4AAD" w:rsidP="009A533B">
                            <w:pPr>
                              <w:pStyle w:val="Subtitle"/>
                            </w:pPr>
                            <w:r>
                              <w:t>Western expansion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DDE71" id="_x0000_t202" coordsize="21600,21600" o:spt="202" path="m,l,21600r21600,l21600,xe">
                <v:stroke joinstyle="miter"/>
                <v:path gradientshapeok="t" o:connecttype="rect"/>
              </v:shapetype>
              <v:shape id="Text Box 2" o:spid="_x0000_s1027" type="#_x0000_t202" style="position:absolute;left:0;text-align:left;margin-left:0;margin-top:141pt;width:447.75pt;height:214.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" filled="f" stroked="f" strokeweight=".5pt">
                <v:textbox>
                  <w:txbxContent>
                    <w:p w14:paraId="2D8DB663" w14:textId="452CB811" w:rsidR="009A533B" w:rsidRPr="003A0A76" w:rsidRDefault="00473BD7" w:rsidP="009A533B">
                      <w:pPr>
                        <w:pStyle w:val="Title"/>
                      </w:pPr>
                      <w:r>
                        <w:t xml:space="preserve">RTOE </w:t>
                      </w:r>
                      <w:r w:rsidR="00AE4AAD">
                        <w:t xml:space="preserve">Trading Hub Analysis </w:t>
                      </w:r>
                      <w:r>
                        <w:t xml:space="preserve">– </w:t>
                      </w:r>
                      <w:r w:rsidR="00C30743">
                        <w:t>SWPW_HUB</w:t>
                      </w:r>
                      <w:r w:rsidR="00AE4AAD">
                        <w:t xml:space="preserve"> </w:t>
                      </w:r>
                    </w:p>
                    <w:p w14:paraId="309AC03E" w14:textId="40203B92" w:rsidR="009A533B" w:rsidRPr="003A0A76" w:rsidRDefault="00AE4AAD" w:rsidP="009A533B">
                      <w:pPr>
                        <w:pStyle w:val="Subtitle"/>
                      </w:pPr>
                      <w:r>
                        <w:t>Western expansion</w:t>
                      </w:r>
                    </w:p>
                  </w:txbxContent>
                </v:textbox>
                <w10:wrap type="square" anchorx="margin" anchory="margin"/>
              </v:shape>
            </w:pict>
          </mc:Fallback>
        </mc:AlternateContent>
      </w:r>
      <w:r w:rsidR="009A533B">
        <w:rPr>
          <w:noProof/>
        </w:rPr>
        <w:drawing>
          <wp:anchor distT="0" distB="0" distL="114300" distR="114300" simplePos="0" relativeHeight="251658240" behindDoc="0" locked="0" layoutInCell="1" allowOverlap="1" wp14:anchorId="339AC5E6" wp14:editId="53A6E64A">
            <wp:simplePos x="0" y="0"/>
            <wp:positionH relativeFrom="margin">
              <wp:align>left</wp:align>
            </wp:positionH>
            <wp:positionV relativeFrom="margin">
              <wp:posOffset>952500</wp:posOffset>
            </wp:positionV>
            <wp:extent cx="1905000" cy="655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p>
    <w:p w14:paraId="07CC8F02" w14:textId="77777777" w:rsidR="00A83C37" w:rsidRPr="00BB7746" w:rsidRDefault="00984A12" w:rsidP="009A533B">
      <w:pPr>
        <w:pStyle w:val="Heading1"/>
      </w:pPr>
      <w:bookmarkStart w:id="0" w:name="_Toc215741142"/>
      <w:r w:rsidRPr="00BB7746">
        <w:rPr>
          <w:rStyle w:val="Heading1Char"/>
          <w:caps/>
        </w:rPr>
        <w:lastRenderedPageBreak/>
        <w:t>R</w:t>
      </w:r>
      <w:r w:rsidR="00641DC0" w:rsidRPr="00BB7746">
        <w:rPr>
          <w:rStyle w:val="Heading1Char"/>
          <w:caps/>
        </w:rPr>
        <w:t xml:space="preserve">evision </w:t>
      </w:r>
      <w:r w:rsidRPr="00BB7746">
        <w:rPr>
          <w:rStyle w:val="Heading1Char"/>
          <w:caps/>
        </w:rPr>
        <w:t>H</w:t>
      </w:r>
      <w:r w:rsidR="00641DC0" w:rsidRPr="00BB7746">
        <w:rPr>
          <w:rStyle w:val="Heading1Char"/>
          <w:caps/>
        </w:rPr>
        <w:t>istory</w:t>
      </w:r>
      <w:bookmarkEnd w:id="0"/>
    </w:p>
    <w:tbl>
      <w:tblPr>
        <w:tblStyle w:val="SPPOfficialTableDefaultTable"/>
        <w:tblW w:w="0" w:type="auto"/>
        <w:tblBorders>
          <w:insideH w:val="single" w:sz="8" w:space="0" w:color="FFFFFF" w:themeColor="background1"/>
          <w:insideV w:val="single" w:sz="8" w:space="0" w:color="FFFFFF" w:themeColor="background1"/>
        </w:tblBorders>
        <w:tblLook w:val="0420" w:firstRow="1" w:lastRow="0" w:firstColumn="0" w:lastColumn="0" w:noHBand="0" w:noVBand="1"/>
      </w:tblPr>
      <w:tblGrid>
        <w:gridCol w:w="2337"/>
        <w:gridCol w:w="2337"/>
        <w:gridCol w:w="2338"/>
        <w:gridCol w:w="2338"/>
      </w:tblGrid>
      <w:tr w:rsidR="00B43E31" w:rsidRPr="0091332F" w14:paraId="1A5D3256" w14:textId="77777777" w:rsidTr="00E624D7">
        <w:trPr>
          <w:cnfStyle w:val="100000000000" w:firstRow="1" w:lastRow="0" w:firstColumn="0" w:lastColumn="0" w:oddVBand="0" w:evenVBand="0" w:oddHBand="0" w:evenHBand="0" w:firstRowFirstColumn="0" w:firstRowLastColumn="0" w:lastRowFirstColumn="0" w:lastRowLastColumn="0"/>
        </w:trPr>
        <w:tc>
          <w:tcPr>
            <w:tcW w:w="2337" w:type="dxa"/>
          </w:tcPr>
          <w:p w14:paraId="4D96FD64"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Date or version number</w:t>
            </w:r>
          </w:p>
        </w:tc>
        <w:tc>
          <w:tcPr>
            <w:tcW w:w="2337" w:type="dxa"/>
          </w:tcPr>
          <w:p w14:paraId="3483D1FA" w14:textId="220BB1F0" w:rsidR="00641DC0" w:rsidRPr="00B43E31" w:rsidRDefault="00641DC0" w:rsidP="009A533B">
            <w:pPr>
              <w:pStyle w:val="TableHeader"/>
              <w:rPr>
                <w:rFonts w:ascii="Segoe UI Bold" w:hAnsi="Segoe UI Bold"/>
                <w:b w:val="0"/>
                <w:caps/>
              </w:rPr>
            </w:pPr>
            <w:r w:rsidRPr="00B43E31">
              <w:rPr>
                <w:rFonts w:ascii="Segoe UI Bold" w:hAnsi="Segoe UI Bold"/>
                <w:b w:val="0"/>
                <w:caps/>
              </w:rPr>
              <w:t>Author</w:t>
            </w:r>
            <w:r w:rsidR="007A4EA9">
              <w:rPr>
                <w:rFonts w:ascii="Segoe UI Bold" w:hAnsi="Segoe UI Bold"/>
                <w:b w:val="0"/>
                <w:caps/>
              </w:rPr>
              <w:t>S</w:t>
            </w:r>
          </w:p>
        </w:tc>
        <w:tc>
          <w:tcPr>
            <w:tcW w:w="2338" w:type="dxa"/>
          </w:tcPr>
          <w:p w14:paraId="401B25D5"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Change Description</w:t>
            </w:r>
          </w:p>
        </w:tc>
        <w:tc>
          <w:tcPr>
            <w:tcW w:w="2338" w:type="dxa"/>
          </w:tcPr>
          <w:p w14:paraId="6C873731"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Comments</w:t>
            </w:r>
          </w:p>
        </w:tc>
      </w:tr>
      <w:tr w:rsidR="00B43E31" w14:paraId="32DB6D18"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0460D780" w14:textId="1AE108E5" w:rsidR="00641DC0" w:rsidRPr="0091332F" w:rsidRDefault="00046CD2" w:rsidP="009A533B">
            <w:r>
              <w:t>1</w:t>
            </w:r>
          </w:p>
        </w:tc>
        <w:tc>
          <w:tcPr>
            <w:tcW w:w="2337" w:type="dxa"/>
          </w:tcPr>
          <w:p w14:paraId="4F40A9E3" w14:textId="77777777" w:rsidR="00641DC0" w:rsidRDefault="00F35B31" w:rsidP="00144B98">
            <w:pPr>
              <w:pStyle w:val="TableText"/>
            </w:pPr>
            <w:r>
              <w:t>Amanda Harker Steele</w:t>
            </w:r>
          </w:p>
          <w:p w14:paraId="0DC070EA" w14:textId="77777777" w:rsidR="007A4EA9" w:rsidRDefault="007A4EA9" w:rsidP="007A4EA9">
            <w:r>
              <w:t xml:space="preserve">Kirby </w:t>
            </w:r>
            <w:r w:rsidRPr="00203847">
              <w:t>Willis</w:t>
            </w:r>
          </w:p>
          <w:p w14:paraId="0CD4CD0C" w14:textId="77777777" w:rsidR="007A4EA9" w:rsidRDefault="007A4EA9" w:rsidP="007A4EA9">
            <w:r>
              <w:t>Michael McCann</w:t>
            </w:r>
          </w:p>
          <w:p w14:paraId="1237FD34" w14:textId="4D561453" w:rsidR="007A4EA9" w:rsidRPr="0091332F" w:rsidRDefault="007A4EA9" w:rsidP="00017BD2">
            <w:r>
              <w:t>Drew McGilvray</w:t>
            </w:r>
          </w:p>
        </w:tc>
        <w:tc>
          <w:tcPr>
            <w:tcW w:w="2338" w:type="dxa"/>
          </w:tcPr>
          <w:p w14:paraId="08F9741C" w14:textId="0B0B844B" w:rsidR="00641DC0" w:rsidRPr="0091332F" w:rsidRDefault="00046CD2" w:rsidP="009A533B">
            <w:r>
              <w:t>Initial Draft</w:t>
            </w:r>
          </w:p>
        </w:tc>
        <w:tc>
          <w:tcPr>
            <w:tcW w:w="2338" w:type="dxa"/>
          </w:tcPr>
          <w:p w14:paraId="64E7FCD5" w14:textId="77777777" w:rsidR="00641DC0" w:rsidRPr="0091332F" w:rsidRDefault="00641DC0" w:rsidP="009A533B"/>
        </w:tc>
      </w:tr>
      <w:tr w:rsidR="00641DC0" w14:paraId="22B47F0C"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26F4F2E9" w14:textId="77777777" w:rsidR="00641DC0" w:rsidRPr="0091332F" w:rsidRDefault="00641DC0" w:rsidP="009A533B"/>
        </w:tc>
        <w:tc>
          <w:tcPr>
            <w:tcW w:w="2337" w:type="dxa"/>
          </w:tcPr>
          <w:p w14:paraId="1E17892C" w14:textId="77777777" w:rsidR="00641DC0" w:rsidRPr="0091332F" w:rsidRDefault="00641DC0" w:rsidP="009A533B"/>
        </w:tc>
        <w:tc>
          <w:tcPr>
            <w:tcW w:w="2338" w:type="dxa"/>
          </w:tcPr>
          <w:p w14:paraId="07F61D20" w14:textId="77777777" w:rsidR="00641DC0" w:rsidRPr="0091332F" w:rsidRDefault="00641DC0" w:rsidP="009A533B"/>
        </w:tc>
        <w:tc>
          <w:tcPr>
            <w:tcW w:w="2338" w:type="dxa"/>
          </w:tcPr>
          <w:p w14:paraId="07C81AB0" w14:textId="77777777" w:rsidR="00641DC0" w:rsidRPr="0091332F" w:rsidRDefault="00641DC0" w:rsidP="009A533B"/>
        </w:tc>
      </w:tr>
      <w:tr w:rsidR="00B43E31" w14:paraId="2044E54E"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017AB02D" w14:textId="77777777" w:rsidR="00641DC0" w:rsidRPr="0091332F" w:rsidRDefault="00641DC0" w:rsidP="009A533B"/>
        </w:tc>
        <w:tc>
          <w:tcPr>
            <w:tcW w:w="2337" w:type="dxa"/>
          </w:tcPr>
          <w:p w14:paraId="5AC56665" w14:textId="77777777" w:rsidR="00641DC0" w:rsidRPr="0091332F" w:rsidRDefault="00641DC0" w:rsidP="009A533B"/>
        </w:tc>
        <w:tc>
          <w:tcPr>
            <w:tcW w:w="2338" w:type="dxa"/>
          </w:tcPr>
          <w:p w14:paraId="61F6056F" w14:textId="77777777" w:rsidR="00641DC0" w:rsidRPr="0091332F" w:rsidRDefault="00641DC0" w:rsidP="009A533B"/>
        </w:tc>
        <w:tc>
          <w:tcPr>
            <w:tcW w:w="2338" w:type="dxa"/>
          </w:tcPr>
          <w:p w14:paraId="363B6956" w14:textId="77777777" w:rsidR="00641DC0" w:rsidRPr="0091332F" w:rsidRDefault="00641DC0" w:rsidP="009A533B"/>
        </w:tc>
      </w:tr>
    </w:tbl>
    <w:p w14:paraId="0E1DABBE" w14:textId="77777777" w:rsidR="00984A12" w:rsidRDefault="00984A12" w:rsidP="009A533B"/>
    <w:p w14:paraId="235259AA" w14:textId="77777777" w:rsidR="00945429" w:rsidRDefault="00945429" w:rsidP="009A533B"/>
    <w:p w14:paraId="294686BB" w14:textId="77777777" w:rsidR="00E624D7" w:rsidRDefault="00E624D7" w:rsidP="009A533B">
      <w:pPr>
        <w:sectPr w:rsidR="00E624D7" w:rsidSect="00413D5D">
          <w:headerReference w:type="default" r:id="rId12"/>
          <w:footerReference w:type="default" r:id="rId13"/>
          <w:pgSz w:w="12240" w:h="15840"/>
          <w:pgMar w:top="1440" w:right="1440" w:bottom="1440" w:left="1440" w:header="720" w:footer="720" w:gutter="0"/>
          <w:pgNumType w:fmt="lowerRoman" w:start="1"/>
          <w:cols w:space="720"/>
          <w:docGrid w:linePitch="360"/>
        </w:sectPr>
      </w:pPr>
    </w:p>
    <w:sdt>
      <w:sdtPr>
        <w:rPr>
          <w:rFonts w:ascii="Cambria" w:eastAsiaTheme="minorEastAsia" w:hAnsi="Cambria" w:cstheme="minorBidi"/>
          <w:caps w:val="0"/>
          <w:color w:val="auto"/>
          <w:sz w:val="22"/>
          <w:szCs w:val="22"/>
        </w:rPr>
        <w:id w:val="263967951"/>
        <w:docPartObj>
          <w:docPartGallery w:val="Table of Contents"/>
          <w:docPartUnique/>
        </w:docPartObj>
      </w:sdtPr>
      <w:sdtEndPr>
        <w:rPr>
          <w:rFonts w:ascii="Segoe UI" w:hAnsi="Segoe UI"/>
          <w:noProof/>
        </w:rPr>
      </w:sdtEndPr>
      <w:sdtContent>
        <w:p w14:paraId="11AB81B6" w14:textId="77777777" w:rsidR="00984A12" w:rsidRDefault="00984A12" w:rsidP="009A533B">
          <w:pPr>
            <w:pStyle w:val="TOCHeading"/>
          </w:pPr>
          <w:r w:rsidRPr="00BB7746">
            <w:t>Contents</w:t>
          </w:r>
        </w:p>
        <w:p w14:paraId="73C1BF27" w14:textId="5B3C1F4C" w:rsidR="005F5E5A" w:rsidRDefault="00984A12">
          <w:pPr>
            <w:pStyle w:val="TOC1"/>
            <w:rPr>
              <w:rFonts w:asciiTheme="minorHAnsi" w:eastAsiaTheme="minorEastAsia" w:hAnsiTheme="minorHAnsi" w:cstheme="minorBidi"/>
              <w:caps w:val="0"/>
              <w:kern w:val="2"/>
              <w:sz w:val="24"/>
              <w:szCs w:val="24"/>
              <w14:ligatures w14:val="standardContextual"/>
            </w:rPr>
          </w:pPr>
          <w:r w:rsidRPr="00FD0B6E">
            <w:fldChar w:fldCharType="begin"/>
          </w:r>
          <w:r w:rsidRPr="00FD0B6E">
            <w:instrText xml:space="preserve"> TOC \o "1-3" \h \z \u </w:instrText>
          </w:r>
          <w:r w:rsidRPr="00FD0B6E">
            <w:fldChar w:fldCharType="separate"/>
          </w:r>
          <w:hyperlink w:anchor="_Toc215741142" w:history="1">
            <w:r w:rsidR="005F5E5A" w:rsidRPr="00720A7C">
              <w:rPr>
                <w:rStyle w:val="Hyperlink"/>
              </w:rPr>
              <w:t>Revision History</w:t>
            </w:r>
            <w:r w:rsidR="005F5E5A">
              <w:rPr>
                <w:webHidden/>
              </w:rPr>
              <w:tab/>
            </w:r>
            <w:r w:rsidR="005F5E5A">
              <w:rPr>
                <w:webHidden/>
              </w:rPr>
              <w:fldChar w:fldCharType="begin"/>
            </w:r>
            <w:r w:rsidR="005F5E5A">
              <w:rPr>
                <w:webHidden/>
              </w:rPr>
              <w:instrText xml:space="preserve"> PAGEREF _Toc215741142 \h </w:instrText>
            </w:r>
            <w:r w:rsidR="005F5E5A">
              <w:rPr>
                <w:webHidden/>
              </w:rPr>
            </w:r>
            <w:r w:rsidR="005F5E5A">
              <w:rPr>
                <w:webHidden/>
              </w:rPr>
              <w:fldChar w:fldCharType="separate"/>
            </w:r>
            <w:r w:rsidR="005F5E5A">
              <w:rPr>
                <w:webHidden/>
              </w:rPr>
              <w:t>i</w:t>
            </w:r>
            <w:r w:rsidR="005F5E5A">
              <w:rPr>
                <w:webHidden/>
              </w:rPr>
              <w:fldChar w:fldCharType="end"/>
            </w:r>
          </w:hyperlink>
        </w:p>
        <w:p w14:paraId="6ACF3B11" w14:textId="34EBAC9A" w:rsidR="005F5E5A" w:rsidRDefault="005F5E5A">
          <w:pPr>
            <w:pStyle w:val="TOC1"/>
            <w:rPr>
              <w:rFonts w:asciiTheme="minorHAnsi" w:eastAsiaTheme="minorEastAsia" w:hAnsiTheme="minorHAnsi" w:cstheme="minorBidi"/>
              <w:caps w:val="0"/>
              <w:kern w:val="2"/>
              <w:sz w:val="24"/>
              <w:szCs w:val="24"/>
              <w14:ligatures w14:val="standardContextual"/>
            </w:rPr>
          </w:pPr>
          <w:hyperlink w:anchor="_Toc215741143" w:history="1">
            <w:r w:rsidRPr="00720A7C">
              <w:rPr>
                <w:rStyle w:val="Hyperlink"/>
              </w:rPr>
              <w:t>Executive summary</w:t>
            </w:r>
            <w:r>
              <w:rPr>
                <w:webHidden/>
              </w:rPr>
              <w:tab/>
            </w:r>
            <w:r>
              <w:rPr>
                <w:webHidden/>
              </w:rPr>
              <w:fldChar w:fldCharType="begin"/>
            </w:r>
            <w:r>
              <w:rPr>
                <w:webHidden/>
              </w:rPr>
              <w:instrText xml:space="preserve"> PAGEREF _Toc215741143 \h </w:instrText>
            </w:r>
            <w:r>
              <w:rPr>
                <w:webHidden/>
              </w:rPr>
            </w:r>
            <w:r>
              <w:rPr>
                <w:webHidden/>
              </w:rPr>
              <w:fldChar w:fldCharType="separate"/>
            </w:r>
            <w:r>
              <w:rPr>
                <w:webHidden/>
              </w:rPr>
              <w:t>1</w:t>
            </w:r>
            <w:r>
              <w:rPr>
                <w:webHidden/>
              </w:rPr>
              <w:fldChar w:fldCharType="end"/>
            </w:r>
          </w:hyperlink>
        </w:p>
        <w:p w14:paraId="2B19FDC7" w14:textId="29B7295A" w:rsidR="005F5E5A" w:rsidRDefault="005F5E5A">
          <w:pPr>
            <w:pStyle w:val="TOC1"/>
            <w:rPr>
              <w:rFonts w:asciiTheme="minorHAnsi" w:eastAsiaTheme="minorEastAsia" w:hAnsiTheme="minorHAnsi" w:cstheme="minorBidi"/>
              <w:caps w:val="0"/>
              <w:kern w:val="2"/>
              <w:sz w:val="24"/>
              <w:szCs w:val="24"/>
              <w14:ligatures w14:val="standardContextual"/>
            </w:rPr>
          </w:pPr>
          <w:hyperlink w:anchor="_Toc215741144" w:history="1">
            <w:r w:rsidRPr="00720A7C">
              <w:rPr>
                <w:rStyle w:val="Hyperlink"/>
              </w:rPr>
              <w:t>Background</w:t>
            </w:r>
            <w:r>
              <w:rPr>
                <w:webHidden/>
              </w:rPr>
              <w:tab/>
            </w:r>
            <w:r>
              <w:rPr>
                <w:webHidden/>
              </w:rPr>
              <w:fldChar w:fldCharType="begin"/>
            </w:r>
            <w:r>
              <w:rPr>
                <w:webHidden/>
              </w:rPr>
              <w:instrText xml:space="preserve"> PAGEREF _Toc215741144 \h </w:instrText>
            </w:r>
            <w:r>
              <w:rPr>
                <w:webHidden/>
              </w:rPr>
            </w:r>
            <w:r>
              <w:rPr>
                <w:webHidden/>
              </w:rPr>
              <w:fldChar w:fldCharType="separate"/>
            </w:r>
            <w:r>
              <w:rPr>
                <w:webHidden/>
              </w:rPr>
              <w:t>2</w:t>
            </w:r>
            <w:r>
              <w:rPr>
                <w:webHidden/>
              </w:rPr>
              <w:fldChar w:fldCharType="end"/>
            </w:r>
          </w:hyperlink>
        </w:p>
        <w:p w14:paraId="1F2985D9" w14:textId="699CB5B4" w:rsidR="005F5E5A" w:rsidRDefault="005F5E5A">
          <w:pPr>
            <w:pStyle w:val="TOC1"/>
            <w:rPr>
              <w:rFonts w:asciiTheme="minorHAnsi" w:eastAsiaTheme="minorEastAsia" w:hAnsiTheme="minorHAnsi" w:cstheme="minorBidi"/>
              <w:caps w:val="0"/>
              <w:kern w:val="2"/>
              <w:sz w:val="24"/>
              <w:szCs w:val="24"/>
              <w14:ligatures w14:val="standardContextual"/>
            </w:rPr>
          </w:pPr>
          <w:hyperlink w:anchor="_Toc215741145" w:history="1">
            <w:r w:rsidRPr="00720A7C">
              <w:rPr>
                <w:rStyle w:val="Hyperlink"/>
              </w:rPr>
              <w:t>Preview of Results</w:t>
            </w:r>
            <w:r>
              <w:rPr>
                <w:webHidden/>
              </w:rPr>
              <w:tab/>
            </w:r>
            <w:r>
              <w:rPr>
                <w:webHidden/>
              </w:rPr>
              <w:fldChar w:fldCharType="begin"/>
            </w:r>
            <w:r>
              <w:rPr>
                <w:webHidden/>
              </w:rPr>
              <w:instrText xml:space="preserve"> PAGEREF _Toc215741145 \h </w:instrText>
            </w:r>
            <w:r>
              <w:rPr>
                <w:webHidden/>
              </w:rPr>
            </w:r>
            <w:r>
              <w:rPr>
                <w:webHidden/>
              </w:rPr>
              <w:fldChar w:fldCharType="separate"/>
            </w:r>
            <w:r>
              <w:rPr>
                <w:webHidden/>
              </w:rPr>
              <w:t>3</w:t>
            </w:r>
            <w:r>
              <w:rPr>
                <w:webHidden/>
              </w:rPr>
              <w:fldChar w:fldCharType="end"/>
            </w:r>
          </w:hyperlink>
        </w:p>
        <w:p w14:paraId="1700A569" w14:textId="0DE8C650" w:rsidR="005F5E5A" w:rsidRDefault="005F5E5A">
          <w:pPr>
            <w:pStyle w:val="TOC1"/>
            <w:rPr>
              <w:rFonts w:asciiTheme="minorHAnsi" w:eastAsiaTheme="minorEastAsia" w:hAnsiTheme="minorHAnsi" w:cstheme="minorBidi"/>
              <w:caps w:val="0"/>
              <w:kern w:val="2"/>
              <w:sz w:val="24"/>
              <w:szCs w:val="24"/>
              <w14:ligatures w14:val="standardContextual"/>
            </w:rPr>
          </w:pPr>
          <w:hyperlink w:anchor="_Toc215741146" w:history="1">
            <w:r w:rsidRPr="00720A7C">
              <w:rPr>
                <w:rStyle w:val="Hyperlink"/>
              </w:rPr>
              <w:t>Cluster analysis &amp; SAS® FastClus</w:t>
            </w:r>
            <w:r>
              <w:rPr>
                <w:webHidden/>
              </w:rPr>
              <w:tab/>
            </w:r>
            <w:r>
              <w:rPr>
                <w:webHidden/>
              </w:rPr>
              <w:fldChar w:fldCharType="begin"/>
            </w:r>
            <w:r>
              <w:rPr>
                <w:webHidden/>
              </w:rPr>
              <w:instrText xml:space="preserve"> PAGEREF _Toc215741146 \h </w:instrText>
            </w:r>
            <w:r>
              <w:rPr>
                <w:webHidden/>
              </w:rPr>
            </w:r>
            <w:r>
              <w:rPr>
                <w:webHidden/>
              </w:rPr>
              <w:fldChar w:fldCharType="separate"/>
            </w:r>
            <w:r>
              <w:rPr>
                <w:webHidden/>
              </w:rPr>
              <w:t>4</w:t>
            </w:r>
            <w:r>
              <w:rPr>
                <w:webHidden/>
              </w:rPr>
              <w:fldChar w:fldCharType="end"/>
            </w:r>
          </w:hyperlink>
        </w:p>
        <w:p w14:paraId="0ED65CE1" w14:textId="1BCC3596" w:rsidR="005F5E5A" w:rsidRDefault="005F5E5A">
          <w:pPr>
            <w:pStyle w:val="TOC2"/>
            <w:rPr>
              <w:rFonts w:asciiTheme="minorHAnsi" w:eastAsiaTheme="minorEastAsia" w:hAnsiTheme="minorHAnsi" w:cstheme="minorBidi"/>
              <w:kern w:val="2"/>
              <w:sz w:val="24"/>
              <w:szCs w:val="24"/>
              <w14:ligatures w14:val="standardContextual"/>
            </w:rPr>
          </w:pPr>
          <w:hyperlink w:anchor="_Toc215741147" w:history="1">
            <w:r w:rsidRPr="00720A7C">
              <w:rPr>
                <w:rStyle w:val="Hyperlink"/>
              </w:rPr>
              <w:t>Cluster Analysis</w:t>
            </w:r>
            <w:r>
              <w:rPr>
                <w:webHidden/>
              </w:rPr>
              <w:tab/>
            </w:r>
            <w:r>
              <w:rPr>
                <w:webHidden/>
              </w:rPr>
              <w:fldChar w:fldCharType="begin"/>
            </w:r>
            <w:r>
              <w:rPr>
                <w:webHidden/>
              </w:rPr>
              <w:instrText xml:space="preserve"> PAGEREF _Toc215741147 \h </w:instrText>
            </w:r>
            <w:r>
              <w:rPr>
                <w:webHidden/>
              </w:rPr>
            </w:r>
            <w:r>
              <w:rPr>
                <w:webHidden/>
              </w:rPr>
              <w:fldChar w:fldCharType="separate"/>
            </w:r>
            <w:r>
              <w:rPr>
                <w:webHidden/>
              </w:rPr>
              <w:t>4</w:t>
            </w:r>
            <w:r>
              <w:rPr>
                <w:webHidden/>
              </w:rPr>
              <w:fldChar w:fldCharType="end"/>
            </w:r>
          </w:hyperlink>
        </w:p>
        <w:p w14:paraId="50B5CBE6" w14:textId="51A7EB8F" w:rsidR="005F5E5A" w:rsidRDefault="005F5E5A">
          <w:pPr>
            <w:pStyle w:val="TOC2"/>
            <w:rPr>
              <w:rFonts w:asciiTheme="minorHAnsi" w:eastAsiaTheme="minorEastAsia" w:hAnsiTheme="minorHAnsi" w:cstheme="minorBidi"/>
              <w:kern w:val="2"/>
              <w:sz w:val="24"/>
              <w:szCs w:val="24"/>
              <w14:ligatures w14:val="standardContextual"/>
            </w:rPr>
          </w:pPr>
          <w:hyperlink w:anchor="_Toc215741148" w:history="1">
            <w:r w:rsidRPr="00720A7C">
              <w:rPr>
                <w:rStyle w:val="Hyperlink"/>
              </w:rPr>
              <w:t>SAS®FASTCLUS</w:t>
            </w:r>
            <w:r>
              <w:rPr>
                <w:webHidden/>
              </w:rPr>
              <w:tab/>
            </w:r>
            <w:r>
              <w:rPr>
                <w:webHidden/>
              </w:rPr>
              <w:fldChar w:fldCharType="begin"/>
            </w:r>
            <w:r>
              <w:rPr>
                <w:webHidden/>
              </w:rPr>
              <w:instrText xml:space="preserve"> PAGEREF _Toc215741148 \h </w:instrText>
            </w:r>
            <w:r>
              <w:rPr>
                <w:webHidden/>
              </w:rPr>
            </w:r>
            <w:r>
              <w:rPr>
                <w:webHidden/>
              </w:rPr>
              <w:fldChar w:fldCharType="separate"/>
            </w:r>
            <w:r>
              <w:rPr>
                <w:webHidden/>
              </w:rPr>
              <w:t>5</w:t>
            </w:r>
            <w:r>
              <w:rPr>
                <w:webHidden/>
              </w:rPr>
              <w:fldChar w:fldCharType="end"/>
            </w:r>
          </w:hyperlink>
        </w:p>
        <w:p w14:paraId="695C1E2E" w14:textId="7688302C" w:rsidR="005F5E5A" w:rsidRDefault="005F5E5A">
          <w:pPr>
            <w:pStyle w:val="TOC1"/>
            <w:rPr>
              <w:rFonts w:asciiTheme="minorHAnsi" w:eastAsiaTheme="minorEastAsia" w:hAnsiTheme="minorHAnsi" w:cstheme="minorBidi"/>
              <w:caps w:val="0"/>
              <w:kern w:val="2"/>
              <w:sz w:val="24"/>
              <w:szCs w:val="24"/>
              <w14:ligatures w14:val="standardContextual"/>
            </w:rPr>
          </w:pPr>
          <w:hyperlink w:anchor="_Toc215741149" w:history="1">
            <w:r w:rsidRPr="00720A7C">
              <w:rPr>
                <w:rStyle w:val="Hyperlink"/>
              </w:rPr>
              <w:t>Analysis &amp; Results</w:t>
            </w:r>
            <w:r>
              <w:rPr>
                <w:webHidden/>
              </w:rPr>
              <w:tab/>
            </w:r>
            <w:r>
              <w:rPr>
                <w:webHidden/>
              </w:rPr>
              <w:fldChar w:fldCharType="begin"/>
            </w:r>
            <w:r>
              <w:rPr>
                <w:webHidden/>
              </w:rPr>
              <w:instrText xml:space="preserve"> PAGEREF _Toc215741149 \h </w:instrText>
            </w:r>
            <w:r>
              <w:rPr>
                <w:webHidden/>
              </w:rPr>
            </w:r>
            <w:r>
              <w:rPr>
                <w:webHidden/>
              </w:rPr>
              <w:fldChar w:fldCharType="separate"/>
            </w:r>
            <w:r>
              <w:rPr>
                <w:webHidden/>
              </w:rPr>
              <w:t>6</w:t>
            </w:r>
            <w:r>
              <w:rPr>
                <w:webHidden/>
              </w:rPr>
              <w:fldChar w:fldCharType="end"/>
            </w:r>
          </w:hyperlink>
        </w:p>
        <w:p w14:paraId="0DFEAC92" w14:textId="476D5C2F" w:rsidR="005F5E5A" w:rsidRDefault="005F5E5A">
          <w:pPr>
            <w:pStyle w:val="TOC1"/>
            <w:rPr>
              <w:rFonts w:asciiTheme="minorHAnsi" w:eastAsiaTheme="minorEastAsia" w:hAnsiTheme="minorHAnsi" w:cstheme="minorBidi"/>
              <w:caps w:val="0"/>
              <w:kern w:val="2"/>
              <w:sz w:val="24"/>
              <w:szCs w:val="24"/>
              <w14:ligatures w14:val="standardContextual"/>
            </w:rPr>
          </w:pPr>
          <w:hyperlink w:anchor="_Toc215741150" w:history="1">
            <w:r w:rsidRPr="00720A7C">
              <w:rPr>
                <w:rStyle w:val="Hyperlink"/>
              </w:rPr>
              <w:t>Conclusions &amp; Considerations</w:t>
            </w:r>
            <w:r>
              <w:rPr>
                <w:webHidden/>
              </w:rPr>
              <w:tab/>
            </w:r>
            <w:r>
              <w:rPr>
                <w:webHidden/>
              </w:rPr>
              <w:fldChar w:fldCharType="begin"/>
            </w:r>
            <w:r>
              <w:rPr>
                <w:webHidden/>
              </w:rPr>
              <w:instrText xml:space="preserve"> PAGEREF _Toc215741150 \h </w:instrText>
            </w:r>
            <w:r>
              <w:rPr>
                <w:webHidden/>
              </w:rPr>
            </w:r>
            <w:r>
              <w:rPr>
                <w:webHidden/>
              </w:rPr>
              <w:fldChar w:fldCharType="separate"/>
            </w:r>
            <w:r>
              <w:rPr>
                <w:webHidden/>
              </w:rPr>
              <w:t>8</w:t>
            </w:r>
            <w:r>
              <w:rPr>
                <w:webHidden/>
              </w:rPr>
              <w:fldChar w:fldCharType="end"/>
            </w:r>
          </w:hyperlink>
        </w:p>
        <w:p w14:paraId="4F8F895F" w14:textId="7E2F190E" w:rsidR="00984A12" w:rsidRPr="00FD0B6E" w:rsidRDefault="00984A12" w:rsidP="009A533B">
          <w:r w:rsidRPr="00FD0B6E">
            <w:rPr>
              <w:noProof/>
            </w:rPr>
            <w:fldChar w:fldCharType="end"/>
          </w:r>
        </w:p>
      </w:sdtContent>
    </w:sdt>
    <w:p w14:paraId="5095E7B7" w14:textId="77777777" w:rsidR="00641DC0" w:rsidRDefault="00641DC0" w:rsidP="009A533B"/>
    <w:p w14:paraId="21E72808" w14:textId="77777777" w:rsidR="00984A12" w:rsidRDefault="00984A12" w:rsidP="009A533B">
      <w:pPr>
        <w:sectPr w:rsidR="00984A12" w:rsidSect="00641DC0">
          <w:headerReference w:type="default" r:id="rId14"/>
          <w:pgSz w:w="12240" w:h="15840"/>
          <w:pgMar w:top="1440" w:right="1440" w:bottom="1440" w:left="1440" w:header="720" w:footer="720" w:gutter="0"/>
          <w:cols w:space="720"/>
          <w:docGrid w:linePitch="360"/>
        </w:sectPr>
      </w:pPr>
    </w:p>
    <w:p w14:paraId="3BF7787F" w14:textId="3E7B2962" w:rsidR="00641DC0" w:rsidRPr="00BB7746" w:rsidRDefault="00AE4AAD" w:rsidP="009A533B">
      <w:pPr>
        <w:pStyle w:val="Heading1"/>
      </w:pPr>
      <w:bookmarkStart w:id="1" w:name="_Toc215741143"/>
      <w:r>
        <w:lastRenderedPageBreak/>
        <w:t>Executive summary</w:t>
      </w:r>
      <w:bookmarkEnd w:id="1"/>
    </w:p>
    <w:p w14:paraId="01E6E651" w14:textId="373F5B2B" w:rsidR="00F11446" w:rsidRDefault="0097710F" w:rsidP="007A4EA9">
      <w:pPr>
        <w:tabs>
          <w:tab w:val="clear" w:pos="2431"/>
        </w:tabs>
        <w:spacing w:after="0" w:line="259" w:lineRule="auto"/>
      </w:pPr>
      <w:r>
        <w:t xml:space="preserve">In 2025, </w:t>
      </w:r>
      <w:r w:rsidR="00E73BA7">
        <w:t>Southwest Power Pool (“SPP”)</w:t>
      </w:r>
      <w:r w:rsidR="00974035">
        <w:t xml:space="preserve"> performed </w:t>
      </w:r>
      <w:r w:rsidR="00B3718E">
        <w:t xml:space="preserve">an analysis </w:t>
      </w:r>
      <w:r w:rsidR="0043068C">
        <w:t xml:space="preserve">to </w:t>
      </w:r>
      <w:r w:rsidR="00E73BA7">
        <w:t xml:space="preserve">discern whether a Trading Hub </w:t>
      </w:r>
      <w:r w:rsidR="002342B8">
        <w:t xml:space="preserve">should be </w:t>
      </w:r>
      <w:r w:rsidR="0043068C">
        <w:t>establish</w:t>
      </w:r>
      <w:r w:rsidR="002342B8">
        <w:t>ed</w:t>
      </w:r>
      <w:r w:rsidR="0043068C">
        <w:t xml:space="preserve"> </w:t>
      </w:r>
      <w:r w:rsidR="002342B8">
        <w:t xml:space="preserve">to support </w:t>
      </w:r>
      <w:r w:rsidR="00765EE9">
        <w:t>Western</w:t>
      </w:r>
      <w:r w:rsidR="00C3496D">
        <w:t xml:space="preserve"> market operations.</w:t>
      </w:r>
      <w:r w:rsidR="00765EE9">
        <w:t xml:space="preserve"> </w:t>
      </w:r>
      <w:r w:rsidR="004B79E6">
        <w:t xml:space="preserve">SPP </w:t>
      </w:r>
      <w:r w:rsidR="00765EE9">
        <w:t>Market</w:t>
      </w:r>
      <w:r w:rsidR="004B79E6">
        <w:t xml:space="preserve">s </w:t>
      </w:r>
      <w:r w:rsidR="00C2557E">
        <w:t>Staff</w:t>
      </w:r>
      <w:r w:rsidR="004B79E6">
        <w:t xml:space="preserve"> used</w:t>
      </w:r>
      <w:r w:rsidR="001B6C4C">
        <w:t xml:space="preserve"> the </w:t>
      </w:r>
      <w:r w:rsidR="00A72629" w:rsidRPr="00A72629">
        <w:t xml:space="preserve">frequency, standard deviation and Euclidean distance </w:t>
      </w:r>
      <w:r w:rsidR="001B6C4C">
        <w:t>reported</w:t>
      </w:r>
      <w:r w:rsidR="00623CA8">
        <w:t xml:space="preserve"> by </w:t>
      </w:r>
      <w:r w:rsidR="00C3496D">
        <w:t xml:space="preserve">the </w:t>
      </w:r>
      <w:r w:rsidR="00623CA8">
        <w:t xml:space="preserve">SAS® FASTCLUS </w:t>
      </w:r>
      <w:r w:rsidR="00C3496D">
        <w:t xml:space="preserve">procedure </w:t>
      </w:r>
      <w:r w:rsidR="007250FC">
        <w:t xml:space="preserve">applied to </w:t>
      </w:r>
      <w:r w:rsidR="00C85C76">
        <w:t xml:space="preserve">real-time </w:t>
      </w:r>
      <w:r w:rsidR="007250FC">
        <w:t>locational marginal price</w:t>
      </w:r>
      <w:r w:rsidR="00C85C76">
        <w:t>s</w:t>
      </w:r>
      <w:r w:rsidR="007250FC">
        <w:t xml:space="preserve"> (“LMP”) </w:t>
      </w:r>
      <w:r w:rsidR="00BA5E5C">
        <w:t>from 1/1/2024 to 12/31/2024.</w:t>
      </w:r>
      <w:r w:rsidR="0052390E">
        <w:t xml:space="preserve"> </w:t>
      </w:r>
      <w:r w:rsidR="00D4793C">
        <w:t xml:space="preserve">Based on the results, SPP Markets Staff recommend </w:t>
      </w:r>
      <w:r w:rsidR="005535A4">
        <w:t xml:space="preserve">a </w:t>
      </w:r>
      <w:r>
        <w:t xml:space="preserve">western </w:t>
      </w:r>
      <w:r w:rsidR="005535A4">
        <w:t>Trading Hub be established.</w:t>
      </w:r>
    </w:p>
    <w:p w14:paraId="20585B8F" w14:textId="77777777" w:rsidR="007A4EA9" w:rsidRDefault="007A4EA9" w:rsidP="00017BD2">
      <w:pPr>
        <w:tabs>
          <w:tab w:val="clear" w:pos="2431"/>
        </w:tabs>
        <w:spacing w:after="0" w:line="259" w:lineRule="auto"/>
      </w:pPr>
    </w:p>
    <w:p w14:paraId="5B354EC2" w14:textId="5F9476E8" w:rsidR="00044AF4" w:rsidRDefault="00C736D5" w:rsidP="00017BD2">
      <w:pPr>
        <w:tabs>
          <w:tab w:val="clear" w:pos="2431"/>
        </w:tabs>
        <w:spacing w:after="0" w:line="259" w:lineRule="auto"/>
      </w:pPr>
      <w:r>
        <w:t xml:space="preserve">At the same time, </w:t>
      </w:r>
      <w:r w:rsidR="00D12491">
        <w:t xml:space="preserve">SPP Markets staff also performed a review of </w:t>
      </w:r>
      <w:r w:rsidR="00BC0384">
        <w:t xml:space="preserve">Section 3.1.1 </w:t>
      </w:r>
      <w:r w:rsidR="00C506B2">
        <w:t>of</w:t>
      </w:r>
      <w:r w:rsidR="0092213F">
        <w:t xml:space="preserve"> Attachment AE of the Tariff </w:t>
      </w:r>
      <w:r w:rsidR="00F11446">
        <w:t xml:space="preserve">and Section 4.5.2.3.1 of the Integrated Marketplace Protocols </w:t>
      </w:r>
      <w:r w:rsidR="0092213F">
        <w:t xml:space="preserve">to discern whether </w:t>
      </w:r>
      <w:r w:rsidR="00703334">
        <w:t xml:space="preserve">revision requests should be pursued </w:t>
      </w:r>
      <w:r w:rsidR="0092213F">
        <w:t xml:space="preserve">given differences </w:t>
      </w:r>
      <w:r w:rsidR="00C506B2">
        <w:t xml:space="preserve">in </w:t>
      </w:r>
      <w:r w:rsidR="00703334">
        <w:t xml:space="preserve">how </w:t>
      </w:r>
      <w:r>
        <w:t xml:space="preserve">transmission </w:t>
      </w:r>
      <w:r w:rsidR="00C506B2">
        <w:t xml:space="preserve">scheduling and operation </w:t>
      </w:r>
      <w:r>
        <w:t>occurs within the</w:t>
      </w:r>
      <w:r w:rsidR="00CF06A2">
        <w:t xml:space="preserve"> Western and Eastern Interconnect</w:t>
      </w:r>
      <w:r>
        <w:t>s</w:t>
      </w:r>
      <w:r w:rsidR="00CF06A2">
        <w:t xml:space="preserve">. The results of the review performed suggest current language need not be </w:t>
      </w:r>
      <w:r>
        <w:t xml:space="preserve">revised. </w:t>
      </w:r>
      <w:r w:rsidR="00CF06A2">
        <w:t xml:space="preserve"> </w:t>
      </w:r>
      <w:r w:rsidR="00044AF4">
        <w:br w:type="page"/>
      </w:r>
    </w:p>
    <w:p w14:paraId="56E166C6" w14:textId="52445A1B" w:rsidR="0084355E" w:rsidRPr="0084355E" w:rsidRDefault="00044AF4" w:rsidP="0084355E">
      <w:pPr>
        <w:pStyle w:val="Heading1"/>
      </w:pPr>
      <w:bookmarkStart w:id="2" w:name="_Toc215741144"/>
      <w:r>
        <w:lastRenderedPageBreak/>
        <w:t>Background</w:t>
      </w:r>
      <w:bookmarkEnd w:id="2"/>
      <w:r w:rsidR="00F727F6">
        <w:t xml:space="preserve"> </w:t>
      </w:r>
    </w:p>
    <w:p w14:paraId="7458A7BF" w14:textId="22351F9B" w:rsidR="00AC79C6" w:rsidRDefault="004B1FAC" w:rsidP="009A533B">
      <w:r>
        <w:t xml:space="preserve">In </w:t>
      </w:r>
      <w:r w:rsidR="00280357">
        <w:t xml:space="preserve">July 2021, Southwest Power Pool’s </w:t>
      </w:r>
      <w:r w:rsidR="00A068B5">
        <w:t xml:space="preserve">(“SPP”) </w:t>
      </w:r>
      <w:r w:rsidR="00280357">
        <w:t>board of directors and strategic planning committee approved the</w:t>
      </w:r>
      <w:r w:rsidR="003E751A">
        <w:t xml:space="preserve"> submitted policy-level</w:t>
      </w:r>
      <w:r w:rsidR="00280357">
        <w:t xml:space="preserve"> terms and conditions for regional transmission organization expa</w:t>
      </w:r>
      <w:r w:rsidR="00292820">
        <w:t>n</w:t>
      </w:r>
      <w:r w:rsidR="00280357">
        <w:t>sion</w:t>
      </w:r>
      <w:r w:rsidR="00C22087">
        <w:t xml:space="preserve"> (“RTOE”)</w:t>
      </w:r>
      <w:r w:rsidR="00280357">
        <w:t xml:space="preserve"> into the Western Interconnect. </w:t>
      </w:r>
      <w:r w:rsidR="00292820">
        <w:rPr>
          <w:rStyle w:val="FootnoteReference"/>
        </w:rPr>
        <w:footnoteReference w:id="1"/>
      </w:r>
      <w:r w:rsidR="007C330B">
        <w:t xml:space="preserve"> </w:t>
      </w:r>
      <w:r w:rsidR="00F86CEB">
        <w:t>Organizations</w:t>
      </w:r>
      <w:r w:rsidR="00516FD5">
        <w:t xml:space="preserve"> who p</w:t>
      </w:r>
      <w:r w:rsidR="002869FE">
        <w:t xml:space="preserve">ursue </w:t>
      </w:r>
      <w:r w:rsidR="00F86CEB">
        <w:t>membership</w:t>
      </w:r>
      <w:r w:rsidR="00464AFE">
        <w:t xml:space="preserve"> </w:t>
      </w:r>
      <w:r w:rsidR="001D773D">
        <w:t>under RTO West</w:t>
      </w:r>
      <w:r w:rsidR="008A32BD">
        <w:t xml:space="preserve"> operate facilities in the Western Interconnect but remain</w:t>
      </w:r>
      <w:r w:rsidR="001D773D">
        <w:t xml:space="preserve"> </w:t>
      </w:r>
      <w:r w:rsidR="00EA4D79">
        <w:t>subject to the</w:t>
      </w:r>
      <w:r w:rsidR="00F1666A">
        <w:t xml:space="preserve"> terms and conditions of </w:t>
      </w:r>
      <w:r w:rsidR="001C78EB">
        <w:t>SPP’s Open</w:t>
      </w:r>
      <w:r w:rsidR="001810CC">
        <w:t xml:space="preserve"> Access Transmission Tariff. </w:t>
      </w:r>
      <w:r w:rsidR="008A32BD">
        <w:t>A</w:t>
      </w:r>
      <w:r w:rsidR="00426F11">
        <w:t xml:space="preserve"> </w:t>
      </w:r>
      <w:r w:rsidR="00252FDF">
        <w:t>condition</w:t>
      </w:r>
      <w:r w:rsidR="00505195">
        <w:t xml:space="preserve"> </w:t>
      </w:r>
      <w:r w:rsidR="001152A2">
        <w:t xml:space="preserve">of </w:t>
      </w:r>
      <w:r w:rsidR="005F2ADB">
        <w:t>which</w:t>
      </w:r>
      <w:r w:rsidR="00160BEE">
        <w:t xml:space="preserve"> </w:t>
      </w:r>
      <w:r w:rsidR="005F2ADB">
        <w:t xml:space="preserve">is </w:t>
      </w:r>
      <w:r w:rsidR="001D7557">
        <w:t>the</w:t>
      </w:r>
      <w:r w:rsidR="001152A2">
        <w:t xml:space="preserve"> </w:t>
      </w:r>
      <w:r w:rsidR="001D7557">
        <w:t>maintenance of</w:t>
      </w:r>
      <w:r w:rsidR="001152A2">
        <w:t xml:space="preserve"> at least one </w:t>
      </w:r>
      <w:r w:rsidR="00252FDF">
        <w:t xml:space="preserve">Trading </w:t>
      </w:r>
      <w:r w:rsidR="00972F10">
        <w:t>H</w:t>
      </w:r>
      <w:r w:rsidR="00252FDF">
        <w:t xml:space="preserve">ub. </w:t>
      </w:r>
    </w:p>
    <w:p w14:paraId="4AA3E81A" w14:textId="2F93C15E" w:rsidR="00717C46" w:rsidRDefault="00972F10" w:rsidP="009A533B">
      <w:r>
        <w:t>Designed</w:t>
      </w:r>
      <w:r w:rsidR="00B5711E">
        <w:t xml:space="preserve"> </w:t>
      </w:r>
      <w:r w:rsidR="00B73C62">
        <w:t xml:space="preserve">for financial and trading </w:t>
      </w:r>
      <w:r w:rsidR="00FD2A74">
        <w:t>purposes</w:t>
      </w:r>
      <w:r w:rsidR="00BF5754">
        <w:t xml:space="preserve"> in the</w:t>
      </w:r>
      <w:r w:rsidR="008F0AA3">
        <w:t xml:space="preserve"> </w:t>
      </w:r>
      <w:r w:rsidR="00BF5754" w:rsidRPr="00BF5754">
        <w:t xml:space="preserve">day-ahead (“DA”) </w:t>
      </w:r>
      <w:r w:rsidR="00A934CD">
        <w:t>and</w:t>
      </w:r>
      <w:r w:rsidR="00BF5754" w:rsidRPr="00BF5754">
        <w:t xml:space="preserve"> Real-Time Balancing Market</w:t>
      </w:r>
      <w:r w:rsidR="00A934CD">
        <w:t>s</w:t>
      </w:r>
      <w:r w:rsidR="00BF5754" w:rsidRPr="00BF5754">
        <w:t xml:space="preserve"> (“RTBM”)</w:t>
      </w:r>
      <w:r w:rsidR="00A934CD">
        <w:t xml:space="preserve"> </w:t>
      </w:r>
      <w:r w:rsidR="00BF5754" w:rsidRPr="00BF5754">
        <w:t>and/or Auction Revenue Rights (“ARR”)/Transmission Congestion Rights (“TCR”) process</w:t>
      </w:r>
      <w:r w:rsidR="00BF5754">
        <w:t>es</w:t>
      </w:r>
      <w:r w:rsidR="002E5806">
        <w:t>,</w:t>
      </w:r>
      <w:r w:rsidR="00BF5754" w:rsidRPr="00BF5754">
        <w:t xml:space="preserve"> </w:t>
      </w:r>
      <w:r>
        <w:t>a Trading Hub</w:t>
      </w:r>
      <w:r w:rsidR="00D13D6D">
        <w:t xml:space="preserve"> is a settlement location representing an aggregation of price nodes (</w:t>
      </w:r>
      <w:r w:rsidR="00C1323D">
        <w:t>“</w:t>
      </w:r>
      <w:r w:rsidR="00BE47C7">
        <w:t>P</w:t>
      </w:r>
      <w:r w:rsidR="00D13D6D">
        <w:t>Nodes</w:t>
      </w:r>
      <w:r w:rsidR="00C1323D">
        <w:t>”</w:t>
      </w:r>
      <w:r w:rsidR="00D13D6D">
        <w:t xml:space="preserve">). </w:t>
      </w:r>
      <w:bookmarkStart w:id="3" w:name="_Hlk215652923"/>
      <w:r w:rsidR="00717C46" w:rsidRPr="00717C46">
        <w:t>Currently SPP operates two trading hubs: 1) the North Hub (SPPNORTH_HUB) and 2) the South Hub (SPPSOUTH_HUB).</w:t>
      </w:r>
    </w:p>
    <w:p w14:paraId="73A8AE3E" w14:textId="5D9F7DA4" w:rsidR="00726522" w:rsidRDefault="00180564" w:rsidP="009A533B">
      <w:r>
        <w:t>P</w:t>
      </w:r>
      <w:r w:rsidR="00B470CB">
        <w:t xml:space="preserve">er </w:t>
      </w:r>
      <w:r w:rsidR="00A934CD">
        <w:t>Section 3.1.</w:t>
      </w:r>
      <w:r w:rsidR="00305591">
        <w:t xml:space="preserve">1 of </w:t>
      </w:r>
      <w:r w:rsidR="003A25CB">
        <w:t xml:space="preserve">Attachment AE </w:t>
      </w:r>
      <w:r w:rsidR="00305591">
        <w:t xml:space="preserve">of </w:t>
      </w:r>
      <w:r w:rsidR="00B470CB">
        <w:t>SPP</w:t>
      </w:r>
      <w:r w:rsidR="003C1B62">
        <w:t>’s Open Access Transmission</w:t>
      </w:r>
      <w:r w:rsidR="00B470CB">
        <w:t xml:space="preserve"> Tariff </w:t>
      </w:r>
      <w:bookmarkEnd w:id="3"/>
      <w:r w:rsidR="003C1B62">
        <w:t>SPP</w:t>
      </w:r>
      <w:r w:rsidR="002E7AE4">
        <w:t xml:space="preserve"> shall use the following criteria</w:t>
      </w:r>
      <w:r w:rsidR="00305591">
        <w:t xml:space="preserve"> in </w:t>
      </w:r>
      <w:r w:rsidR="002E7AE4" w:rsidRPr="004D42EA">
        <w:t>establish</w:t>
      </w:r>
      <w:r w:rsidR="002E5806">
        <w:t>ing</w:t>
      </w:r>
      <w:r w:rsidR="002E7AE4" w:rsidRPr="004D42EA">
        <w:t xml:space="preserve"> </w:t>
      </w:r>
      <w:r w:rsidR="003C1B62" w:rsidRPr="004D42EA">
        <w:t>all</w:t>
      </w:r>
      <w:r w:rsidR="003C1B62">
        <w:t xml:space="preserve"> </w:t>
      </w:r>
      <w:r w:rsidR="002E7AE4">
        <w:t xml:space="preserve">Trading Hubs: </w:t>
      </w:r>
    </w:p>
    <w:p w14:paraId="2A94C157" w14:textId="77777777" w:rsidR="000C63A0" w:rsidRDefault="000C63A0" w:rsidP="000C63A0">
      <w:pPr>
        <w:pStyle w:val="ListParagraph"/>
        <w:numPr>
          <w:ilvl w:val="0"/>
          <w:numId w:val="2"/>
        </w:numPr>
      </w:pPr>
      <w:r w:rsidRPr="000C63A0">
        <w:t>Each Trading Hub shall contain a sufficient number of nodes to ensure that a Trading Hub Locational Marginal Price (“LMP”) can be calculated for that Trading Hub at all times;</w:t>
      </w:r>
    </w:p>
    <w:p w14:paraId="542E6CD8" w14:textId="77777777" w:rsidR="000C63A0" w:rsidRDefault="000C63A0" w:rsidP="000C63A0">
      <w:pPr>
        <w:pStyle w:val="ListParagraph"/>
        <w:numPr>
          <w:ilvl w:val="0"/>
          <w:numId w:val="2"/>
        </w:numPr>
      </w:pPr>
      <w:r w:rsidRPr="000C63A0">
        <w:t>Each Trading Hub shall contain a sufficient number of nodes to ensure that the unavailability of, or an adjacent line outage to, any one node or set of nodes would have only a minor impact on the Trading Hub LMP;</w:t>
      </w:r>
    </w:p>
    <w:p w14:paraId="6733CD16" w14:textId="77777777" w:rsidR="000C63A0" w:rsidRDefault="000C63A0" w:rsidP="000C63A0">
      <w:pPr>
        <w:pStyle w:val="ListParagraph"/>
        <w:numPr>
          <w:ilvl w:val="0"/>
          <w:numId w:val="2"/>
        </w:numPr>
      </w:pPr>
      <w:r w:rsidRPr="000C63A0">
        <w:t>Each Trading Hub shall consist of nodes with a relatively high rate of service availability; and</w:t>
      </w:r>
    </w:p>
    <w:p w14:paraId="55032456" w14:textId="77777777" w:rsidR="000C63A0" w:rsidRDefault="000C63A0" w:rsidP="000C63A0">
      <w:pPr>
        <w:pStyle w:val="ListParagraph"/>
        <w:numPr>
          <w:ilvl w:val="0"/>
          <w:numId w:val="2"/>
        </w:numPr>
      </w:pPr>
      <w:r w:rsidRPr="000C63A0">
        <w:t>Each Trading Hub shall consist of nodes among which Transmission Service is relatively unconstrained.</w:t>
      </w:r>
    </w:p>
    <w:p w14:paraId="5AD247F0" w14:textId="6FE49AA3" w:rsidR="000C63A0" w:rsidRPr="000C63A0" w:rsidRDefault="000C63A0" w:rsidP="000C63A0">
      <w:pPr>
        <w:pStyle w:val="ListParagraph"/>
        <w:numPr>
          <w:ilvl w:val="0"/>
          <w:numId w:val="2"/>
        </w:numPr>
      </w:pPr>
      <w:r w:rsidRPr="000C63A0">
        <w:t xml:space="preserve">A Trading Hub shall not encompass the combined loads and Resources of a single </w:t>
      </w:r>
      <w:r w:rsidR="00A32B03" w:rsidRPr="000C63A0">
        <w:t>vertically integrated</w:t>
      </w:r>
      <w:r w:rsidRPr="000C63A0">
        <w:t xml:space="preserve"> utility into a single Settlement Location.</w:t>
      </w:r>
    </w:p>
    <w:p w14:paraId="3C625E66" w14:textId="2DC5C65A" w:rsidR="00FC53F7" w:rsidRDefault="00D9602C" w:rsidP="00FC53F7">
      <w:r w:rsidRPr="00D9602C">
        <w:t xml:space="preserve">Any Market Participant may </w:t>
      </w:r>
      <w:r w:rsidR="003476D0">
        <w:t xml:space="preserve">propose </w:t>
      </w:r>
      <w:r w:rsidRPr="00D9602C">
        <w:t xml:space="preserve">a </w:t>
      </w:r>
      <w:r w:rsidR="00305591">
        <w:t xml:space="preserve">new </w:t>
      </w:r>
      <w:r w:rsidRPr="00D9602C">
        <w:t>Trading Hub</w:t>
      </w:r>
      <w:r w:rsidR="00305591">
        <w:t xml:space="preserve">. </w:t>
      </w:r>
      <w:r w:rsidR="005F2ADB">
        <w:t>A</w:t>
      </w:r>
      <w:r w:rsidR="005F2ADB" w:rsidRPr="005F2ADB">
        <w:t xml:space="preserve">ccording to </w:t>
      </w:r>
      <w:r w:rsidR="00493773">
        <w:t xml:space="preserve">Section </w:t>
      </w:r>
      <w:r w:rsidR="00305D3E">
        <w:t xml:space="preserve">4.5.2.3.1 of </w:t>
      </w:r>
      <w:r w:rsidR="005F2ADB" w:rsidRPr="005F2ADB">
        <w:t>SPP’s Integrated Marketplace Protocols</w:t>
      </w:r>
      <w:r w:rsidR="00FC53F7">
        <w:t xml:space="preserve">, the approval process for a </w:t>
      </w:r>
      <w:r w:rsidR="00305591">
        <w:t xml:space="preserve">proposed </w:t>
      </w:r>
      <w:r w:rsidR="006145A8">
        <w:t xml:space="preserve">new </w:t>
      </w:r>
      <w:r w:rsidR="00FC53F7">
        <w:t>Trading Hub is as follows:</w:t>
      </w:r>
    </w:p>
    <w:p w14:paraId="5E1E00A4" w14:textId="6A2B7800" w:rsidR="00C3356C" w:rsidRDefault="00FC53F7" w:rsidP="00FC53F7">
      <w:pPr>
        <w:pStyle w:val="ListParagraph"/>
        <w:numPr>
          <w:ilvl w:val="0"/>
          <w:numId w:val="3"/>
        </w:numPr>
      </w:pPr>
      <w:r>
        <w:t>Submission of proposal of a Trading Hub to the</w:t>
      </w:r>
      <w:r w:rsidR="00C3356C">
        <w:t xml:space="preserve"> Markets Working Group (</w:t>
      </w:r>
      <w:r w:rsidR="00906A5C">
        <w:t>“</w:t>
      </w:r>
      <w:r>
        <w:t>MWG</w:t>
      </w:r>
      <w:r w:rsidR="00906A5C">
        <w:t>”</w:t>
      </w:r>
      <w:r w:rsidR="00F549AB">
        <w:t>)</w:t>
      </w:r>
      <w:r>
        <w:t>;</w:t>
      </w:r>
    </w:p>
    <w:p w14:paraId="234B45F3" w14:textId="77777777" w:rsidR="00C3356C" w:rsidRDefault="00FC53F7" w:rsidP="00FC53F7">
      <w:pPr>
        <w:pStyle w:val="ListParagraph"/>
        <w:numPr>
          <w:ilvl w:val="0"/>
          <w:numId w:val="3"/>
        </w:numPr>
      </w:pPr>
      <w:r>
        <w:lastRenderedPageBreak/>
        <w:t>MWG review to determine if the proposed Trading Hub should be considered for further analysis;</w:t>
      </w:r>
    </w:p>
    <w:p w14:paraId="2E41C8B0" w14:textId="58DEFEAB" w:rsidR="00C3356C" w:rsidRDefault="00FC53F7" w:rsidP="00FC53F7">
      <w:pPr>
        <w:pStyle w:val="ListParagraph"/>
        <w:numPr>
          <w:ilvl w:val="0"/>
          <w:numId w:val="3"/>
        </w:numPr>
      </w:pPr>
      <w:r>
        <w:t xml:space="preserve">If approved for consideration, the Trading Hub proposal will be analyzed by SPP staff based on the criteria listed </w:t>
      </w:r>
      <w:r w:rsidRPr="00305D3E">
        <w:t>in</w:t>
      </w:r>
      <w:r w:rsidRPr="008773BA">
        <w:t xml:space="preserve"> </w:t>
      </w:r>
      <w:r w:rsidR="00305D3E" w:rsidRPr="008773BA">
        <w:t xml:space="preserve">this </w:t>
      </w:r>
      <w:r w:rsidRPr="008773BA">
        <w:t>Section</w:t>
      </w:r>
      <w:r w:rsidRPr="00305D3E">
        <w:t>;</w:t>
      </w:r>
    </w:p>
    <w:p w14:paraId="5D92879D" w14:textId="77777777" w:rsidR="00742B98" w:rsidRDefault="00FC53F7" w:rsidP="00FC53F7">
      <w:pPr>
        <w:pStyle w:val="ListParagraph"/>
        <w:numPr>
          <w:ilvl w:val="0"/>
          <w:numId w:val="3"/>
        </w:numPr>
      </w:pPr>
      <w:r>
        <w:t xml:space="preserve">SPP will bring back the results of the analysis at a subsequent meeting of the MWG for review to determine a recommendation for the </w:t>
      </w:r>
      <w:r w:rsidR="00742B98">
        <w:t>Markets Operation and Policy Committee (“</w:t>
      </w:r>
      <w:r>
        <w:t>MOPC</w:t>
      </w:r>
      <w:r w:rsidR="00742B98">
        <w:t>”);</w:t>
      </w:r>
    </w:p>
    <w:p w14:paraId="735BD877" w14:textId="4449CF31" w:rsidR="00FC53F7" w:rsidRDefault="00FC53F7" w:rsidP="00E01794">
      <w:pPr>
        <w:pStyle w:val="ListParagraph"/>
        <w:numPr>
          <w:ilvl w:val="0"/>
          <w:numId w:val="3"/>
        </w:numPr>
      </w:pPr>
      <w:r>
        <w:t>The MOPC will consider the proposed establishment, modification, or termination of a Trading Hub and will provide its own recommendation to the SPP Board of Directors for review and approval. Updating a Trading Hub to reflect a terminated P</w:t>
      </w:r>
      <w:r w:rsidR="00C11131">
        <w:t>N</w:t>
      </w:r>
      <w:r>
        <w:t>ode, due to termination of the load or generation at the P</w:t>
      </w:r>
      <w:r w:rsidR="00794429">
        <w:t>N</w:t>
      </w:r>
      <w:r>
        <w:t>ode, is not considered a modification of the Trading Hub for approval purposes and does not require the consideration, review, or approval of the MOPC or the SPP Board of Directors.</w:t>
      </w:r>
    </w:p>
    <w:p w14:paraId="61E3105F" w14:textId="262A57BE" w:rsidR="00531B38" w:rsidRDefault="00C11131" w:rsidP="002E2534">
      <w:r>
        <w:t xml:space="preserve">SPP’s </w:t>
      </w:r>
      <w:r w:rsidR="00F575DF">
        <w:t>Integrated Marketplace Protocols further state, “</w:t>
      </w:r>
      <w:r w:rsidR="00FC53F7">
        <w:t>SPP will post the identification of any approved establishment of a Trading Hub at least 45 days prior to the proposed effective date</w:t>
      </w:r>
      <w:r w:rsidR="00910E35">
        <w:t>.”</w:t>
      </w:r>
      <w:r w:rsidR="00B3342F">
        <w:t xml:space="preserve"> </w:t>
      </w:r>
      <w:r w:rsidR="006C6FC1">
        <w:t>D</w:t>
      </w:r>
      <w:r w:rsidR="002E2534">
        <w:t xml:space="preserve">ue to the largely independent nature </w:t>
      </w:r>
      <w:r w:rsidR="003D6C6B">
        <w:t>of</w:t>
      </w:r>
      <w:r w:rsidR="002E2534">
        <w:t xml:space="preserve"> </w:t>
      </w:r>
      <w:r w:rsidR="0072506C">
        <w:t xml:space="preserve">operations in the </w:t>
      </w:r>
      <w:r w:rsidR="002E2534">
        <w:t xml:space="preserve">Eastern and Western </w:t>
      </w:r>
      <w:r w:rsidR="005A7070">
        <w:t>I</w:t>
      </w:r>
      <w:r w:rsidR="002E2534">
        <w:t xml:space="preserve">nterconnects, including scheduling and </w:t>
      </w:r>
      <w:r w:rsidR="000E6D0E">
        <w:t>coordination of</w:t>
      </w:r>
      <w:r w:rsidR="002E2534">
        <w:t xml:space="preserve"> </w:t>
      </w:r>
      <w:r w:rsidR="00967085">
        <w:t>transmission</w:t>
      </w:r>
      <w:r w:rsidR="00C6450E">
        <w:t xml:space="preserve">, SPP performed an initial analysis to assess </w:t>
      </w:r>
      <w:r w:rsidR="00CB3F18" w:rsidRPr="00CB3F18">
        <w:t xml:space="preserve">whether </w:t>
      </w:r>
      <w:r w:rsidR="00531B38">
        <w:t xml:space="preserve">a </w:t>
      </w:r>
      <w:r w:rsidR="00CB3F18">
        <w:t xml:space="preserve">Western </w:t>
      </w:r>
      <w:r w:rsidR="00CD2EF7">
        <w:t>T</w:t>
      </w:r>
      <w:r w:rsidR="00CB3F18" w:rsidRPr="00CB3F18">
        <w:t xml:space="preserve">rading </w:t>
      </w:r>
      <w:r w:rsidR="00CD2EF7">
        <w:t>H</w:t>
      </w:r>
      <w:r w:rsidR="00CB3F18" w:rsidRPr="00CB3F18">
        <w:t xml:space="preserve">ub should be </w:t>
      </w:r>
      <w:r w:rsidR="00CB3F18">
        <w:t>established</w:t>
      </w:r>
      <w:r w:rsidR="0080744A">
        <w:t xml:space="preserve"> prior to </w:t>
      </w:r>
      <w:r w:rsidR="0080744A" w:rsidRPr="0080744A">
        <w:t>Go Live in April of 2026</w:t>
      </w:r>
      <w:r w:rsidR="0080744A">
        <w:t xml:space="preserve">. </w:t>
      </w:r>
    </w:p>
    <w:p w14:paraId="4CF31D62" w14:textId="1379D9CA" w:rsidR="00A71816" w:rsidRDefault="00CB3F18" w:rsidP="002E2534">
      <w:r w:rsidRPr="00CB3F18">
        <w:t xml:space="preserve">The </w:t>
      </w:r>
      <w:r w:rsidR="00FA1A91">
        <w:t xml:space="preserve">primary </w:t>
      </w:r>
      <w:r w:rsidRPr="00CB3F18">
        <w:t>objective of this paper is to detail the results of the</w:t>
      </w:r>
      <w:r>
        <w:t xml:space="preserve"> </w:t>
      </w:r>
      <w:r w:rsidR="00421564">
        <w:t>analysis</w:t>
      </w:r>
      <w:r>
        <w:t xml:space="preserve"> SPP</w:t>
      </w:r>
      <w:r w:rsidRPr="00CB3F18">
        <w:t xml:space="preserve"> performed</w:t>
      </w:r>
      <w:r w:rsidR="00C4391C">
        <w:t>, which suggested the 2025 Initial Western Trading Hu</w:t>
      </w:r>
      <w:r w:rsidR="00B87BB5">
        <w:t>b</w:t>
      </w:r>
      <w:r w:rsidR="004A0254">
        <w:t xml:space="preserve"> </w:t>
      </w:r>
      <w:r w:rsidR="00074CDC">
        <w:t xml:space="preserve">– </w:t>
      </w:r>
      <w:r w:rsidR="00C30743">
        <w:t>SWPW_HUB</w:t>
      </w:r>
      <w:r w:rsidR="00074CDC">
        <w:t xml:space="preserve"> – </w:t>
      </w:r>
      <w:r w:rsidR="002D6192">
        <w:t xml:space="preserve">should </w:t>
      </w:r>
      <w:r w:rsidR="004A0254">
        <w:t>be established</w:t>
      </w:r>
      <w:r w:rsidR="00A71816">
        <w:t xml:space="preserve">. </w:t>
      </w:r>
      <w:r w:rsidR="00FA1A91">
        <w:t xml:space="preserve">Secondary objectives include </w:t>
      </w:r>
      <w:r w:rsidR="00786ECC">
        <w:t xml:space="preserve">1) </w:t>
      </w:r>
      <w:r w:rsidR="00531B38">
        <w:t xml:space="preserve">detailing </w:t>
      </w:r>
      <w:r w:rsidR="005C036C">
        <w:t>analysis</w:t>
      </w:r>
      <w:r w:rsidR="00531B38">
        <w:t xml:space="preserve"> steps </w:t>
      </w:r>
      <w:r w:rsidR="00BE0741">
        <w:t xml:space="preserve">to </w:t>
      </w:r>
      <w:r w:rsidR="00015D41">
        <w:t xml:space="preserve">permit routine, consistent evaluations </w:t>
      </w:r>
      <w:r w:rsidR="00660BE0">
        <w:t xml:space="preserve">of not only </w:t>
      </w:r>
      <w:r w:rsidR="00015D41">
        <w:t xml:space="preserve">the </w:t>
      </w:r>
      <w:r w:rsidR="00C30743">
        <w:t>SWPW_HUB</w:t>
      </w:r>
      <w:r w:rsidR="00074CDC">
        <w:t xml:space="preserve"> </w:t>
      </w:r>
      <w:r w:rsidR="00660BE0">
        <w:t xml:space="preserve">but also </w:t>
      </w:r>
      <w:r w:rsidR="00D82B4D">
        <w:t xml:space="preserve">SPP’s </w:t>
      </w:r>
      <w:r w:rsidR="00660BE0">
        <w:t>North and South Hubs</w:t>
      </w:r>
      <w:r w:rsidR="00074CDC">
        <w:t xml:space="preserve"> – </w:t>
      </w:r>
      <w:r w:rsidR="009611A1">
        <w:t>SPPNorth_Hub and SPPSouth_Hub</w:t>
      </w:r>
      <w:r w:rsidR="00D545F3">
        <w:t xml:space="preserve">, </w:t>
      </w:r>
      <w:r w:rsidR="00487533">
        <w:t>2</w:t>
      </w:r>
      <w:r w:rsidR="000B6A5E">
        <w:t>)</w:t>
      </w:r>
      <w:r w:rsidR="00122B85">
        <w:t xml:space="preserve"> </w:t>
      </w:r>
      <w:r w:rsidR="000B6A5E">
        <w:t xml:space="preserve">providing insight into </w:t>
      </w:r>
      <w:r w:rsidR="00BF35ED">
        <w:t>SPP</w:t>
      </w:r>
      <w:r w:rsidR="00B925D0">
        <w:t xml:space="preserve">’s rational for </w:t>
      </w:r>
      <w:r w:rsidR="00543A22">
        <w:t xml:space="preserve">selecting </w:t>
      </w:r>
      <w:r w:rsidR="009611A1">
        <w:t xml:space="preserve">the SAS® </w:t>
      </w:r>
      <w:r w:rsidR="00543A22">
        <w:t>F</w:t>
      </w:r>
      <w:r w:rsidR="00287208">
        <w:t>ASTCLUS</w:t>
      </w:r>
      <w:r w:rsidR="004C1A95">
        <w:t xml:space="preserve"> </w:t>
      </w:r>
      <w:r w:rsidR="00287208">
        <w:t>procedure</w:t>
      </w:r>
      <w:r w:rsidR="009611A1">
        <w:t xml:space="preserve"> to perform the analysis</w:t>
      </w:r>
      <w:r w:rsidR="00D545F3">
        <w:t xml:space="preserve">, and 3) </w:t>
      </w:r>
      <w:r w:rsidR="009611A1">
        <w:t>outlining</w:t>
      </w:r>
      <w:r w:rsidR="00D545F3">
        <w:t xml:space="preserve"> the review SPP performed of </w:t>
      </w:r>
      <w:r w:rsidR="002D7E51">
        <w:t>the Tariff and Protocol language</w:t>
      </w:r>
      <w:r w:rsidR="009611A1">
        <w:t xml:space="preserve"> to </w:t>
      </w:r>
      <w:r w:rsidR="00B12367">
        <w:t>ensure no changes were needed</w:t>
      </w:r>
      <w:r w:rsidR="002D7E51">
        <w:t>.</w:t>
      </w:r>
      <w:r w:rsidR="00287208">
        <w:t xml:space="preserve"> </w:t>
      </w:r>
    </w:p>
    <w:p w14:paraId="33F23028" w14:textId="77777777" w:rsidR="00F727F6" w:rsidRDefault="00F727F6" w:rsidP="00F83D11">
      <w:pPr>
        <w:pStyle w:val="Heading1"/>
      </w:pPr>
      <w:bookmarkStart w:id="4" w:name="_Toc215741145"/>
      <w:r>
        <w:t>Preview of Results</w:t>
      </w:r>
      <w:bookmarkEnd w:id="4"/>
    </w:p>
    <w:p w14:paraId="09C549F9" w14:textId="13615327" w:rsidR="002C4D28" w:rsidRDefault="00862F48" w:rsidP="000D642B">
      <w:r>
        <w:t>SPP recommend</w:t>
      </w:r>
      <w:r w:rsidR="002D7E51">
        <w:t>s</w:t>
      </w:r>
      <w:r>
        <w:t xml:space="preserve"> establishing the</w:t>
      </w:r>
      <w:r w:rsidR="00EC0B82">
        <w:t xml:space="preserve"> </w:t>
      </w:r>
      <w:r w:rsidR="00F51752">
        <w:t xml:space="preserve">2025 Initial Western Trading Hub </w:t>
      </w:r>
      <w:r w:rsidR="006003E2">
        <w:t xml:space="preserve">– </w:t>
      </w:r>
      <w:r w:rsidR="00C30743">
        <w:t>SWPW_HUB</w:t>
      </w:r>
      <w:r w:rsidR="006003E2">
        <w:t xml:space="preserve"> – </w:t>
      </w:r>
      <w:r w:rsidR="00F51752">
        <w:t>based on</w:t>
      </w:r>
      <w:r>
        <w:t xml:space="preserve"> the hub having satisfied the criteria under </w:t>
      </w:r>
      <w:r w:rsidRPr="00862F48">
        <w:t>Section 3.1.1 of Attachment AE of SPP’s Open Access Transmission Tariff</w:t>
      </w:r>
      <w:r>
        <w:t xml:space="preserve">. </w:t>
      </w:r>
      <w:r w:rsidR="00064B84">
        <w:t>Satisfaction of criteria we</w:t>
      </w:r>
      <w:r w:rsidR="00E820F3">
        <w:t>re</w:t>
      </w:r>
      <w:r w:rsidR="00064B84">
        <w:t xml:space="preserve"> evaluated based </w:t>
      </w:r>
      <w:r w:rsidR="000C4E72">
        <w:t xml:space="preserve">the </w:t>
      </w:r>
      <w:r w:rsidR="007C3FE9" w:rsidRPr="007C3FE9">
        <w:t xml:space="preserve">frequency, Euclidean distance, and </w:t>
      </w:r>
      <w:r w:rsidR="002D5C55">
        <w:t>s</w:t>
      </w:r>
      <w:r w:rsidR="006E58DD" w:rsidRPr="007C3FE9">
        <w:t>tandard deviation</w:t>
      </w:r>
      <w:r w:rsidR="00922673">
        <w:t xml:space="preserve"> reported </w:t>
      </w:r>
      <w:r w:rsidR="005A0F27">
        <w:t xml:space="preserve">by </w:t>
      </w:r>
      <w:r w:rsidR="002D7E51">
        <w:t xml:space="preserve">the </w:t>
      </w:r>
      <w:r w:rsidR="00896B46">
        <w:t>SAS</w:t>
      </w:r>
      <w:r w:rsidR="00927DF9">
        <w:t>®</w:t>
      </w:r>
      <w:r w:rsidR="002D5C55">
        <w:t xml:space="preserve"> </w:t>
      </w:r>
      <w:r w:rsidR="00E34F2B">
        <w:t xml:space="preserve">FASTCLUS </w:t>
      </w:r>
      <w:r w:rsidR="006E58DD">
        <w:t>procedure</w:t>
      </w:r>
      <w:r w:rsidR="007556BC">
        <w:t xml:space="preserve"> </w:t>
      </w:r>
      <w:r w:rsidR="002D7E51">
        <w:t xml:space="preserve">applied </w:t>
      </w:r>
      <w:r w:rsidR="007556BC">
        <w:t>to</w:t>
      </w:r>
      <w:r w:rsidR="00F86087">
        <w:t xml:space="preserve"> </w:t>
      </w:r>
      <w:r w:rsidR="002D7E51">
        <w:t>real-</w:t>
      </w:r>
      <w:r w:rsidR="002D7E51">
        <w:lastRenderedPageBreak/>
        <w:t xml:space="preserve">time </w:t>
      </w:r>
      <w:r w:rsidR="00E820F3">
        <w:t>LMP</w:t>
      </w:r>
      <w:r w:rsidR="005A0F27">
        <w:t>s</w:t>
      </w:r>
      <w:r w:rsidR="00E820F3">
        <w:t xml:space="preserve"> recorded at </w:t>
      </w:r>
      <w:r w:rsidR="005A0F27">
        <w:t xml:space="preserve">280 </w:t>
      </w:r>
      <w:r w:rsidR="00F86087">
        <w:t>PNode</w:t>
      </w:r>
      <w:r w:rsidR="00097678">
        <w:t xml:space="preserve">s </w:t>
      </w:r>
      <w:r w:rsidR="00E820F3">
        <w:t xml:space="preserve">in </w:t>
      </w:r>
      <w:r w:rsidR="00097678">
        <w:t>SPP’s Western Energy Imbalance Service Market (“WEIS”)</w:t>
      </w:r>
      <w:r w:rsidR="005A0F27">
        <w:t xml:space="preserve"> in 2024</w:t>
      </w:r>
      <w:r w:rsidR="00C528ED">
        <w:t xml:space="preserve">. </w:t>
      </w:r>
      <w:r w:rsidR="00126A05">
        <w:rPr>
          <w:rStyle w:val="FootnoteReference"/>
        </w:rPr>
        <w:footnoteReference w:id="2"/>
      </w:r>
      <w:r w:rsidR="008E2FBA">
        <w:t xml:space="preserve"> </w:t>
      </w:r>
      <w:r w:rsidR="0021195F" w:rsidRPr="0021195F">
        <w:fldChar w:fldCharType="begin"/>
      </w:r>
      <w:r w:rsidR="0021195F" w:rsidRPr="0021195F">
        <w:instrText xml:space="preserve"> REF _Ref211954188 \h  \* MERGEFORMAT </w:instrText>
      </w:r>
      <w:r w:rsidR="0021195F" w:rsidRPr="0021195F">
        <w:fldChar w:fldCharType="separate"/>
      </w:r>
      <w:r w:rsidR="0021195F" w:rsidRPr="0021195F">
        <w:t xml:space="preserve">Figure </w:t>
      </w:r>
      <w:r w:rsidR="0021195F" w:rsidRPr="0021195F">
        <w:rPr>
          <w:noProof/>
        </w:rPr>
        <w:t>1</w:t>
      </w:r>
      <w:r w:rsidR="0021195F" w:rsidRPr="0021195F">
        <w:fldChar w:fldCharType="end"/>
      </w:r>
      <w:r w:rsidR="0021195F" w:rsidRPr="0021195F">
        <w:rPr>
          <w:sz w:val="20"/>
          <w:szCs w:val="20"/>
        </w:rPr>
        <w:t xml:space="preserve"> </w:t>
      </w:r>
      <w:r w:rsidR="00FE6860">
        <w:t xml:space="preserve">below </w:t>
      </w:r>
      <w:r w:rsidR="00C20B55">
        <w:t xml:space="preserve">presents </w:t>
      </w:r>
      <w:proofErr w:type="spellStart"/>
      <w:r w:rsidR="0026519F">
        <w:t>PNodes</w:t>
      </w:r>
      <w:proofErr w:type="spellEnd"/>
      <w:r w:rsidR="0026519F">
        <w:t xml:space="preserve"> </w:t>
      </w:r>
      <w:r w:rsidR="00AD2EFA">
        <w:t>(blue dots)</w:t>
      </w:r>
      <w:r w:rsidR="00772183">
        <w:t xml:space="preserve"> constituting </w:t>
      </w:r>
      <w:r w:rsidR="006003E2">
        <w:t xml:space="preserve">the proposed </w:t>
      </w:r>
      <w:r w:rsidR="00C30743">
        <w:t>SWPW_HUB</w:t>
      </w:r>
      <w:r w:rsidR="006003E2">
        <w:t>.</w:t>
      </w:r>
      <w:r w:rsidR="008D0E7E">
        <w:t xml:space="preserve"> </w:t>
      </w:r>
    </w:p>
    <w:p w14:paraId="78682DAA" w14:textId="300A178E" w:rsidR="00CD63DF" w:rsidRDefault="00CD63DF" w:rsidP="00FE6860">
      <w:pPr>
        <w:pStyle w:val="Caption"/>
        <w:jc w:val="center"/>
      </w:pPr>
      <w:bookmarkStart w:id="5" w:name="_Ref211954188"/>
      <w:r>
        <w:t xml:space="preserve">Figure </w:t>
      </w:r>
      <w:fldSimple w:instr=" SEQ Figure \* ARABIC ">
        <w:r w:rsidR="0021195F">
          <w:rPr>
            <w:noProof/>
          </w:rPr>
          <w:t>1</w:t>
        </w:r>
      </w:fldSimple>
      <w:bookmarkEnd w:id="5"/>
      <w:r>
        <w:t>.</w:t>
      </w:r>
      <w:r w:rsidR="00772183">
        <w:t xml:space="preserve"> Price Nodes </w:t>
      </w:r>
      <w:r w:rsidR="006003E2">
        <w:t>constituting the</w:t>
      </w:r>
      <w:r w:rsidR="00C20B55">
        <w:t xml:space="preserve"> </w:t>
      </w:r>
      <w:r w:rsidR="00C30743">
        <w:t>SWPW_HUB</w:t>
      </w:r>
    </w:p>
    <w:p w14:paraId="42902055" w14:textId="329F86BB" w:rsidR="000E1595" w:rsidRPr="000E1595" w:rsidRDefault="008E4751" w:rsidP="0041294F">
      <w:pPr>
        <w:jc w:val="center"/>
      </w:pPr>
      <w:r>
        <w:rPr>
          <w:noProof/>
        </w:rPr>
        <w:drawing>
          <wp:inline distT="0" distB="0" distL="0" distR="0" wp14:anchorId="2BE683E6" wp14:editId="1DEF05DA">
            <wp:extent cx="5228348" cy="4757976"/>
            <wp:effectExtent l="0" t="0" r="0" b="5080"/>
            <wp:docPr id="4128425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8202" cy="4830645"/>
                    </a:xfrm>
                    <a:prstGeom prst="rect">
                      <a:avLst/>
                    </a:prstGeom>
                    <a:noFill/>
                  </pic:spPr>
                </pic:pic>
              </a:graphicData>
            </a:graphic>
          </wp:inline>
        </w:drawing>
      </w:r>
    </w:p>
    <w:p w14:paraId="464DDA94" w14:textId="0568FB18" w:rsidR="00F83D11" w:rsidRDefault="00F83D11" w:rsidP="00F83D11">
      <w:pPr>
        <w:pStyle w:val="Heading1"/>
      </w:pPr>
      <w:bookmarkStart w:id="6" w:name="_Toc215741146"/>
      <w:r>
        <w:lastRenderedPageBreak/>
        <w:t>Cluster analysis</w:t>
      </w:r>
      <w:r w:rsidR="009E662B">
        <w:t xml:space="preserve"> &amp; SAS® FastClus</w:t>
      </w:r>
      <w:bookmarkEnd w:id="6"/>
      <w:r w:rsidR="00391798">
        <w:t xml:space="preserve"> </w:t>
      </w:r>
    </w:p>
    <w:p w14:paraId="5F766BF0" w14:textId="431B9275" w:rsidR="00660BE0" w:rsidRPr="00876974" w:rsidRDefault="00660BE0" w:rsidP="00660BE0">
      <w:pPr>
        <w:pStyle w:val="Heading2"/>
      </w:pPr>
      <w:bookmarkStart w:id="7" w:name="_Toc215741147"/>
      <w:r>
        <w:t>Cluster Analysis</w:t>
      </w:r>
      <w:bookmarkEnd w:id="7"/>
    </w:p>
    <w:p w14:paraId="0FA63056" w14:textId="5C0FFE42" w:rsidR="001469EB" w:rsidRDefault="0041294F" w:rsidP="0046621E">
      <w:r>
        <w:t xml:space="preserve">Cluster </w:t>
      </w:r>
      <w:r w:rsidR="00BD7F05">
        <w:t xml:space="preserve">analysis </w:t>
      </w:r>
      <w:r w:rsidR="00FC44B5">
        <w:t>is a</w:t>
      </w:r>
      <w:r w:rsidR="0007368C">
        <w:t xml:space="preserve"> versatile</w:t>
      </w:r>
      <w:r w:rsidR="00F519E2">
        <w:t>, exploratory</w:t>
      </w:r>
      <w:r w:rsidR="00FC44B5">
        <w:t xml:space="preserve"> statistical </w:t>
      </w:r>
      <w:r w:rsidR="003820E7">
        <w:t xml:space="preserve">analysis procedure </w:t>
      </w:r>
      <w:r w:rsidR="00FC44B5">
        <w:t xml:space="preserve">used to </w:t>
      </w:r>
      <w:r w:rsidR="0007368C">
        <w:t xml:space="preserve">identify natural </w:t>
      </w:r>
      <w:r w:rsidR="00BA0FFB">
        <w:t>group</w:t>
      </w:r>
      <w:r w:rsidR="0007368C">
        <w:t>ings</w:t>
      </w:r>
      <w:r w:rsidR="00BA0FFB">
        <w:t xml:space="preserve"> (or cluster</w:t>
      </w:r>
      <w:r w:rsidR="0007368C">
        <w:t>s</w:t>
      </w:r>
      <w:r w:rsidR="00BA0FFB">
        <w:t>)</w:t>
      </w:r>
      <w:r w:rsidR="0007368C">
        <w:t xml:space="preserve"> within a dataset</w:t>
      </w:r>
      <w:r w:rsidR="009514D7">
        <w:t>.</w:t>
      </w:r>
      <w:r w:rsidR="009514D7">
        <w:rPr>
          <w:rStyle w:val="FootnoteReference"/>
        </w:rPr>
        <w:footnoteReference w:id="3"/>
      </w:r>
      <w:r w:rsidR="009514D7">
        <w:t xml:space="preserve"> </w:t>
      </w:r>
      <w:r w:rsidR="006B008B">
        <w:t>Its primary aim is not</w:t>
      </w:r>
      <w:r w:rsidR="00311F43">
        <w:t xml:space="preserve"> necessarily</w:t>
      </w:r>
      <w:r w:rsidR="00867651">
        <w:t xml:space="preserve"> to</w:t>
      </w:r>
      <w:r w:rsidR="006B008B">
        <w:t xml:space="preserve"> </w:t>
      </w:r>
      <w:r w:rsidR="00C96410">
        <w:t>infer</w:t>
      </w:r>
      <w:r w:rsidR="006B008B">
        <w:t xml:space="preserve"> anything about the data</w:t>
      </w:r>
      <w:r w:rsidR="00C414AE">
        <w:t xml:space="preserve"> </w:t>
      </w:r>
      <w:r w:rsidR="002B0BC9">
        <w:t>contained within a</w:t>
      </w:r>
      <w:r w:rsidR="00880F16">
        <w:t xml:space="preserve"> given</w:t>
      </w:r>
      <w:r w:rsidR="002B0BC9">
        <w:t xml:space="preserve"> set </w:t>
      </w:r>
      <w:r w:rsidR="006B008B">
        <w:t xml:space="preserve">but </w:t>
      </w:r>
      <w:r w:rsidR="00C414AE">
        <w:t xml:space="preserve">rather </w:t>
      </w:r>
      <w:r w:rsidR="001D7B50" w:rsidRPr="001D7B50">
        <w:t>to divide observations from</w:t>
      </w:r>
      <w:r w:rsidR="002B0BC9">
        <w:t xml:space="preserve"> a data </w:t>
      </w:r>
      <w:r w:rsidR="001D7B50" w:rsidRPr="001D7B50">
        <w:t>set into mutually exclusive groups, such that the degree of association between observations in the same group is maximized and otherwise, is minimized</w:t>
      </w:r>
      <w:r w:rsidR="009925CB">
        <w:t>.</w:t>
      </w:r>
      <w:r w:rsidR="009925CB">
        <w:rPr>
          <w:rStyle w:val="FootnoteReference"/>
        </w:rPr>
        <w:footnoteReference w:id="4"/>
      </w:r>
      <w:r w:rsidR="00311F43">
        <w:t xml:space="preserve"> </w:t>
      </w:r>
      <w:r w:rsidR="0021195F">
        <w:fldChar w:fldCharType="begin"/>
      </w:r>
      <w:r w:rsidR="0021195F">
        <w:instrText xml:space="preserve"> REF _Ref211954241 \h </w:instrText>
      </w:r>
      <w:r w:rsidR="0021195F">
        <w:fldChar w:fldCharType="separate"/>
      </w:r>
      <w:r w:rsidR="0021195F">
        <w:t xml:space="preserve">Figure </w:t>
      </w:r>
      <w:r w:rsidR="0021195F">
        <w:rPr>
          <w:noProof/>
        </w:rPr>
        <w:t>2</w:t>
      </w:r>
      <w:r w:rsidR="0021195F">
        <w:fldChar w:fldCharType="end"/>
      </w:r>
      <w:r w:rsidR="0021195F">
        <w:t xml:space="preserve"> below presents an example of data groupings identified </w:t>
      </w:r>
      <w:r w:rsidR="00D77478">
        <w:t>using</w:t>
      </w:r>
      <w:r w:rsidR="00CD0891">
        <w:t xml:space="preserve"> </w:t>
      </w:r>
      <w:r w:rsidR="0021195F">
        <w:t xml:space="preserve">Cluster Analysis. </w:t>
      </w:r>
      <w:bookmarkStart w:id="8" w:name="_Ref211954241"/>
    </w:p>
    <w:p w14:paraId="16841B15" w14:textId="64403E62" w:rsidR="0021195F" w:rsidRDefault="0021195F" w:rsidP="0021195F">
      <w:pPr>
        <w:pStyle w:val="Caption"/>
        <w:jc w:val="center"/>
      </w:pPr>
      <w:r>
        <w:t xml:space="preserve">Figure </w:t>
      </w:r>
      <w:fldSimple w:instr=" SEQ Figure \* ARABIC ">
        <w:r>
          <w:rPr>
            <w:noProof/>
          </w:rPr>
          <w:t>2</w:t>
        </w:r>
      </w:fldSimple>
      <w:bookmarkEnd w:id="8"/>
      <w:r>
        <w:t>. Example of Data Grouping Identified by Cluster Analysis</w:t>
      </w:r>
    </w:p>
    <w:p w14:paraId="1788ABC9" w14:textId="3945A13A" w:rsidR="005E1A83" w:rsidRDefault="003B1D2B" w:rsidP="003B1D2B">
      <w:pPr>
        <w:jc w:val="center"/>
      </w:pPr>
      <w:r w:rsidRPr="003B1D2B">
        <w:rPr>
          <w:noProof/>
        </w:rPr>
        <w:drawing>
          <wp:inline distT="0" distB="0" distL="0" distR="0" wp14:anchorId="3F4707D6" wp14:editId="3B56E739">
            <wp:extent cx="4522385" cy="3696869"/>
            <wp:effectExtent l="0" t="0" r="0" b="0"/>
            <wp:docPr id="198408470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84709" name="Picture 1" descr="Diagram&#10;&#10;AI-generated content may be incorrect."/>
                    <pic:cNvPicPr/>
                  </pic:nvPicPr>
                  <pic:blipFill>
                    <a:blip r:embed="rId16"/>
                    <a:stretch>
                      <a:fillRect/>
                    </a:stretch>
                  </pic:blipFill>
                  <pic:spPr>
                    <a:xfrm>
                      <a:off x="0" y="0"/>
                      <a:ext cx="4542862" cy="3713608"/>
                    </a:xfrm>
                    <a:prstGeom prst="rect">
                      <a:avLst/>
                    </a:prstGeom>
                  </pic:spPr>
                </pic:pic>
              </a:graphicData>
            </a:graphic>
          </wp:inline>
        </w:drawing>
      </w:r>
    </w:p>
    <w:p w14:paraId="071BF891" w14:textId="5F4B3D61" w:rsidR="00A47A02" w:rsidRDefault="00327248" w:rsidP="0053713C">
      <w:r>
        <w:t xml:space="preserve">In modern </w:t>
      </w:r>
      <w:r w:rsidR="006548D7">
        <w:t xml:space="preserve">wholesale </w:t>
      </w:r>
      <w:r>
        <w:t xml:space="preserve">electricity markets, the </w:t>
      </w:r>
      <w:r w:rsidR="00DD1EE9">
        <w:t xml:space="preserve">price of electricity </w:t>
      </w:r>
      <w:r w:rsidR="00DD4D5A">
        <w:t>not only varies over</w:t>
      </w:r>
      <w:r w:rsidR="00617BB2">
        <w:t xml:space="preserve"> </w:t>
      </w:r>
      <w:r w:rsidR="00DD4D5A">
        <w:t>time but also</w:t>
      </w:r>
      <w:r w:rsidR="00DD1EE9">
        <w:t xml:space="preserve"> </w:t>
      </w:r>
      <w:r w:rsidR="00617BB2">
        <w:t xml:space="preserve">by </w:t>
      </w:r>
      <w:r w:rsidR="00DD1EE9">
        <w:t xml:space="preserve">location </w:t>
      </w:r>
      <w:r w:rsidR="00617BB2">
        <w:t xml:space="preserve">(i.e., </w:t>
      </w:r>
      <w:r w:rsidR="00DD1EE9">
        <w:t xml:space="preserve">from one </w:t>
      </w:r>
      <w:r w:rsidR="000D6CE6">
        <w:t>PN</w:t>
      </w:r>
      <w:r w:rsidR="00DD1EE9">
        <w:t>ode to the next</w:t>
      </w:r>
      <w:r w:rsidR="00617BB2">
        <w:t>)</w:t>
      </w:r>
      <w:r w:rsidR="00480656">
        <w:t>.</w:t>
      </w:r>
      <w:r w:rsidR="00311F43">
        <w:t xml:space="preserve"> Wholesale market</w:t>
      </w:r>
      <w:r w:rsidR="00DD1EE9">
        <w:t xml:space="preserve"> </w:t>
      </w:r>
      <w:r w:rsidR="00311F43">
        <w:t>p</w:t>
      </w:r>
      <w:r w:rsidR="00F75963">
        <w:t xml:space="preserve">articipants </w:t>
      </w:r>
      <w:r w:rsidR="007471E8">
        <w:t xml:space="preserve">have an interest in </w:t>
      </w:r>
      <w:r w:rsidR="000D6CE6">
        <w:t xml:space="preserve">there being </w:t>
      </w:r>
      <w:r w:rsidR="00571E39">
        <w:t xml:space="preserve">at least one </w:t>
      </w:r>
      <w:r w:rsidR="007471E8">
        <w:t>reference price</w:t>
      </w:r>
      <w:r w:rsidR="00F04B67">
        <w:t xml:space="preserve"> </w:t>
      </w:r>
      <w:r w:rsidR="007471E8">
        <w:t xml:space="preserve">available </w:t>
      </w:r>
      <w:r w:rsidR="000D6CE6">
        <w:t xml:space="preserve">to </w:t>
      </w:r>
      <w:r w:rsidR="00571E39">
        <w:t xml:space="preserve">leverage to </w:t>
      </w:r>
      <w:r w:rsidR="007471E8">
        <w:t xml:space="preserve">hedge </w:t>
      </w:r>
      <w:r w:rsidR="007471E8" w:rsidRPr="007471E8">
        <w:t>against</w:t>
      </w:r>
      <w:r w:rsidR="003E3D58">
        <w:t xml:space="preserve"> </w:t>
      </w:r>
      <w:r w:rsidR="00F04B67">
        <w:t xml:space="preserve">certain </w:t>
      </w:r>
      <w:r w:rsidR="007471E8" w:rsidRPr="007471E8">
        <w:t>price risks and settle forward contracts</w:t>
      </w:r>
      <w:r w:rsidR="003E3D58">
        <w:t xml:space="preserve">. The designation </w:t>
      </w:r>
      <w:r w:rsidR="00AA4DB2">
        <w:t xml:space="preserve">of </w:t>
      </w:r>
      <w:r w:rsidR="00640AFD">
        <w:t xml:space="preserve">a </w:t>
      </w:r>
      <w:r w:rsidR="0057613A">
        <w:t>Trading Hub</w:t>
      </w:r>
      <w:r w:rsidR="00640AFD">
        <w:t xml:space="preserve"> is one such way of providing </w:t>
      </w:r>
      <w:r w:rsidR="00550787">
        <w:lastRenderedPageBreak/>
        <w:t xml:space="preserve">wholesale market </w:t>
      </w:r>
      <w:r w:rsidR="00AA4DB2">
        <w:t>participants with such a price.</w:t>
      </w:r>
      <w:r w:rsidR="005A4760" w:rsidRPr="005A4760">
        <w:rPr>
          <w:rStyle w:val="FootnoteReference"/>
        </w:rPr>
        <w:t xml:space="preserve"> </w:t>
      </w:r>
      <w:r w:rsidR="005A4760">
        <w:rPr>
          <w:rStyle w:val="FootnoteReference"/>
        </w:rPr>
        <w:footnoteReference w:id="5"/>
      </w:r>
      <w:r w:rsidR="00571E39">
        <w:t xml:space="preserve"> </w:t>
      </w:r>
      <w:r w:rsidR="00D942D7">
        <w:t xml:space="preserve">The reference price provided by a Trading Hub is the result of a specific </w:t>
      </w:r>
      <w:r w:rsidR="00271CBA">
        <w:t xml:space="preserve">algorithm </w:t>
      </w:r>
      <w:r w:rsidR="00D942D7">
        <w:t xml:space="preserve">having been applied to estimate an </w:t>
      </w:r>
      <w:r w:rsidR="00573F2E">
        <w:t>average</w:t>
      </w:r>
      <w:r w:rsidR="00F31E6B">
        <w:t xml:space="preserve"> of</w:t>
      </w:r>
      <w:r w:rsidR="00571E39">
        <w:t xml:space="preserve"> </w:t>
      </w:r>
      <w:r w:rsidR="00826BAD">
        <w:t xml:space="preserve">the </w:t>
      </w:r>
      <w:r w:rsidR="00573F2E">
        <w:t xml:space="preserve">real-time </w:t>
      </w:r>
      <w:r w:rsidR="00D43863">
        <w:t>LMPs</w:t>
      </w:r>
      <w:r w:rsidR="00573F2E">
        <w:t xml:space="preserve"> </w:t>
      </w:r>
      <w:r w:rsidR="00EB4B1B">
        <w:t>recorded a</w:t>
      </w:r>
      <w:r w:rsidR="009E6AE6">
        <w:t xml:space="preserve">t </w:t>
      </w:r>
      <w:r w:rsidR="008434A1">
        <w:t>set</w:t>
      </w:r>
      <w:r w:rsidR="009E6AE6">
        <w:t xml:space="preserve"> locations (i.e., </w:t>
      </w:r>
      <w:r w:rsidR="00D43863">
        <w:t>PN</w:t>
      </w:r>
      <w:r w:rsidR="009E6AE6">
        <w:t xml:space="preserve">odes) </w:t>
      </w:r>
      <w:r w:rsidR="008434A1">
        <w:t>that</w:t>
      </w:r>
      <w:r w:rsidR="00A47A02">
        <w:t xml:space="preserve"> togethe</w:t>
      </w:r>
      <w:r w:rsidR="00B266C9">
        <w:t>r</w:t>
      </w:r>
      <w:r w:rsidR="00D43863">
        <w:t xml:space="preserve"> are considered</w:t>
      </w:r>
      <w:r w:rsidR="00794C34">
        <w:t xml:space="preserve"> represent</w:t>
      </w:r>
      <w:r w:rsidR="00D43863">
        <w:t>ative of</w:t>
      </w:r>
      <w:r w:rsidR="00CA0E25">
        <w:t xml:space="preserve"> </w:t>
      </w:r>
      <w:r w:rsidR="0071477E">
        <w:t xml:space="preserve">typical </w:t>
      </w:r>
      <w:r w:rsidR="00AA6A4A">
        <w:t xml:space="preserve">price dynamics </w:t>
      </w:r>
      <w:r w:rsidR="0033311F">
        <w:t xml:space="preserve">in </w:t>
      </w:r>
      <w:r w:rsidR="00AA6A4A">
        <w:t xml:space="preserve">the </w:t>
      </w:r>
      <w:r w:rsidR="008434A1">
        <w:t xml:space="preserve">wholesale </w:t>
      </w:r>
      <w:r w:rsidR="00794C34">
        <w:t>market</w:t>
      </w:r>
      <w:r w:rsidR="00A47A02">
        <w:t xml:space="preserve">. </w:t>
      </w:r>
    </w:p>
    <w:p w14:paraId="6F609898" w14:textId="0D6E942E" w:rsidR="00BE09C9" w:rsidRDefault="008773BA" w:rsidP="008773BA">
      <w:pPr>
        <w:pStyle w:val="Heading2"/>
      </w:pPr>
      <w:bookmarkStart w:id="9" w:name="_Toc215741148"/>
      <w:r>
        <w:t>SAS®</w:t>
      </w:r>
      <w:r w:rsidR="00BE09C9">
        <w:t>FAST</w:t>
      </w:r>
      <w:r w:rsidR="008C1C38">
        <w:t>CLUS</w:t>
      </w:r>
      <w:bookmarkEnd w:id="9"/>
    </w:p>
    <w:p w14:paraId="7B16E03E" w14:textId="7EF6119D" w:rsidR="00C8295A" w:rsidRDefault="00660642" w:rsidP="00660642">
      <w:r>
        <w:t xml:space="preserve">SPP </w:t>
      </w:r>
      <w:r w:rsidRPr="0041294F">
        <w:t>performed Cluster Analysis using SAS® FASTCLUS procedure.</w:t>
      </w:r>
      <w:r w:rsidR="0096033D">
        <w:t xml:space="preserve"> The </w:t>
      </w:r>
      <w:r w:rsidR="00CA0E25">
        <w:t xml:space="preserve">SAS® </w:t>
      </w:r>
      <w:r w:rsidR="0096033D">
        <w:t xml:space="preserve">FASTLUS </w:t>
      </w:r>
      <w:r w:rsidR="00BB7BCC">
        <w:t xml:space="preserve">procedure </w:t>
      </w:r>
      <w:r w:rsidR="003C48E7">
        <w:t xml:space="preserve">performs </w:t>
      </w:r>
      <w:r w:rsidR="00005A9A">
        <w:t>disjoint</w:t>
      </w:r>
      <w:r w:rsidR="003C48E7">
        <w:t xml:space="preserve"> </w:t>
      </w:r>
      <w:r w:rsidR="00EA7E2C">
        <w:t>clustering by first</w:t>
      </w:r>
      <w:r w:rsidR="00B34752">
        <w:t xml:space="preserve"> randomly</w:t>
      </w:r>
      <w:r w:rsidR="00C8295A">
        <w:t xml:space="preserve"> </w:t>
      </w:r>
      <w:r w:rsidR="00F66D37">
        <w:t>selecting observation</w:t>
      </w:r>
      <w:r w:rsidR="009E0AB5">
        <w:t xml:space="preserve">s, </w:t>
      </w:r>
      <w:r w:rsidR="00CF56C0">
        <w:t>referred to as seed</w:t>
      </w:r>
      <w:r w:rsidR="009E0AB5">
        <w:t xml:space="preserve">s from a given </w:t>
      </w:r>
      <w:r w:rsidR="00EA7E2C">
        <w:t xml:space="preserve">data </w:t>
      </w:r>
      <w:r w:rsidR="009E0AB5">
        <w:t>set</w:t>
      </w:r>
      <w:r w:rsidR="00B34752">
        <w:t xml:space="preserve">. </w:t>
      </w:r>
      <w:r w:rsidR="00CF56C0">
        <w:t>The seed</w:t>
      </w:r>
      <w:r w:rsidR="009E0AB5">
        <w:t xml:space="preserve">s </w:t>
      </w:r>
      <w:r w:rsidR="00CF56C0">
        <w:t>represent</w:t>
      </w:r>
      <w:r w:rsidR="00B34752">
        <w:t xml:space="preserve"> the first guess </w:t>
      </w:r>
      <w:r w:rsidR="00A04347">
        <w:t>at</w:t>
      </w:r>
      <w:r w:rsidR="00B34752">
        <w:t xml:space="preserve"> the means of</w:t>
      </w:r>
      <w:r w:rsidR="00AE6E96">
        <w:t xml:space="preserve"> different </w:t>
      </w:r>
      <w:r w:rsidR="009E0AB5">
        <w:t xml:space="preserve">natural </w:t>
      </w:r>
      <w:r w:rsidR="00AE6E96">
        <w:t>group</w:t>
      </w:r>
      <w:r w:rsidR="009E0AB5">
        <w:t>ings within</w:t>
      </w:r>
      <w:r w:rsidR="00E84EFB">
        <w:t xml:space="preserve"> </w:t>
      </w:r>
      <w:r w:rsidR="00ED19A4">
        <w:t>the</w:t>
      </w:r>
      <w:r w:rsidR="009E0AB5">
        <w:t xml:space="preserve"> data</w:t>
      </w:r>
      <w:r w:rsidR="00E84EFB">
        <w:t xml:space="preserve"> set</w:t>
      </w:r>
      <w:r w:rsidR="00AE6E96">
        <w:t xml:space="preserve"> </w:t>
      </w:r>
      <w:r w:rsidR="00BD607A">
        <w:t>(i.e., clusters</w:t>
      </w:r>
      <w:r w:rsidR="00440A89">
        <w:t xml:space="preserve"> </w:t>
      </w:r>
      <w:r w:rsidR="00AE6E96">
        <w:t>contained within</w:t>
      </w:r>
      <w:r w:rsidR="00A04347">
        <w:t xml:space="preserve"> the set</w:t>
      </w:r>
      <w:r w:rsidR="00440A89">
        <w:t>)</w:t>
      </w:r>
      <w:r w:rsidR="00AE6E96">
        <w:t xml:space="preserve">. </w:t>
      </w:r>
      <w:r w:rsidR="00CF56C0">
        <w:t xml:space="preserve">Each </w:t>
      </w:r>
      <w:r w:rsidR="00440A89">
        <w:t xml:space="preserve">remaining </w:t>
      </w:r>
      <w:r w:rsidR="00CF56C0">
        <w:t xml:space="preserve">observation is then assigned to the nearest </w:t>
      </w:r>
      <w:r w:rsidR="00A04347">
        <w:t xml:space="preserve">seed to form a </w:t>
      </w:r>
      <w:r w:rsidR="00926669">
        <w:t xml:space="preserve">provisional </w:t>
      </w:r>
      <w:r w:rsidR="00005A9A">
        <w:t>cluster,</w:t>
      </w:r>
      <w:r w:rsidR="00AB3C93">
        <w:t xml:space="preserve"> and </w:t>
      </w:r>
      <w:r w:rsidR="00ED19A4">
        <w:t xml:space="preserve">the initial </w:t>
      </w:r>
      <w:r w:rsidR="00AB3C93">
        <w:t>seed</w:t>
      </w:r>
      <w:r w:rsidR="0023382F">
        <w:t xml:space="preserve"> is then replaced by the </w:t>
      </w:r>
      <w:r w:rsidR="00F05B37">
        <w:t xml:space="preserve">arithmetic average </w:t>
      </w:r>
      <w:r w:rsidR="00457AAF">
        <w:t>of the observations form</w:t>
      </w:r>
      <w:r w:rsidR="00FF1DAC">
        <w:t>ing</w:t>
      </w:r>
      <w:r w:rsidR="00440A89">
        <w:t xml:space="preserve"> each</w:t>
      </w:r>
      <w:r w:rsidR="00457AAF">
        <w:t xml:space="preserve"> cluster</w:t>
      </w:r>
      <w:r w:rsidR="00F05B37">
        <w:t>.</w:t>
      </w:r>
      <w:r w:rsidR="00DF7DF5">
        <w:t xml:space="preserve"> </w:t>
      </w:r>
      <w:r w:rsidR="00F05B37">
        <w:t>The process iterates until convergence is achieved</w:t>
      </w:r>
      <w:r w:rsidR="00F4490B">
        <w:t xml:space="preserve"> </w:t>
      </w:r>
      <w:r w:rsidR="00D27804">
        <w:t xml:space="preserve">as </w:t>
      </w:r>
      <w:r w:rsidR="00F05B37">
        <w:t xml:space="preserve">signaled by </w:t>
      </w:r>
      <w:r w:rsidR="00D27804">
        <w:t xml:space="preserve">the minimization of the sum of squared distances between </w:t>
      </w:r>
      <w:r w:rsidR="007C218F">
        <w:t xml:space="preserve">the observations in </w:t>
      </w:r>
      <w:r w:rsidR="00FF1DAC">
        <w:t xml:space="preserve">a </w:t>
      </w:r>
      <w:r w:rsidR="007C218F">
        <w:t>cluster and that cluster</w:t>
      </w:r>
      <w:r w:rsidR="00FF1DAC">
        <w:t>’</w:t>
      </w:r>
      <w:r w:rsidR="007C218F">
        <w:t>s mean (i.e., centroid)</w:t>
      </w:r>
      <w:r w:rsidR="00F4490B">
        <w:t xml:space="preserve"> or as specified by the user – e.g., a maximum of 50 iterations</w:t>
      </w:r>
      <w:r w:rsidR="007C218F">
        <w:t xml:space="preserve">. </w:t>
      </w:r>
      <w:r w:rsidR="009D2B85">
        <w:rPr>
          <w:rStyle w:val="FootnoteReference"/>
        </w:rPr>
        <w:footnoteReference w:id="6"/>
      </w:r>
    </w:p>
    <w:p w14:paraId="0DF49B93" w14:textId="0D07E454" w:rsidR="001F104D" w:rsidRDefault="008A7ACF" w:rsidP="001F104D">
      <w:pPr>
        <w:pStyle w:val="Heading1"/>
      </w:pPr>
      <w:bookmarkStart w:id="10" w:name="_Toc215741149"/>
      <w:r>
        <w:t>Analysis</w:t>
      </w:r>
      <w:r w:rsidR="00023B8B">
        <w:t xml:space="preserve"> </w:t>
      </w:r>
      <w:r w:rsidR="008773BA">
        <w:t>&amp; Results</w:t>
      </w:r>
      <w:bookmarkEnd w:id="10"/>
    </w:p>
    <w:p w14:paraId="36FC1084" w14:textId="467B1C34" w:rsidR="007B3132" w:rsidRDefault="000F7722" w:rsidP="00180897">
      <w:r>
        <w:t>SPP applied</w:t>
      </w:r>
      <w:r w:rsidR="001B3F98">
        <w:t xml:space="preserve"> the</w:t>
      </w:r>
      <w:r>
        <w:t xml:space="preserve"> </w:t>
      </w:r>
      <w:r w:rsidR="001B3F98">
        <w:t>SAS®</w:t>
      </w:r>
      <w:r>
        <w:t xml:space="preserve"> FASTCLUS procedure to</w:t>
      </w:r>
      <w:r w:rsidR="00BD14CD">
        <w:t xml:space="preserve"> </w:t>
      </w:r>
      <w:r w:rsidRPr="000F7722">
        <w:t>real-time</w:t>
      </w:r>
      <w:r w:rsidR="0066360A">
        <w:t xml:space="preserve"> LMP</w:t>
      </w:r>
      <w:r w:rsidR="00351A6E">
        <w:t>s</w:t>
      </w:r>
      <w:r w:rsidR="0066360A">
        <w:t xml:space="preserve"> </w:t>
      </w:r>
      <w:r w:rsidRPr="000F7722">
        <w:t xml:space="preserve">recorded </w:t>
      </w:r>
      <w:r w:rsidR="00FF6B8D">
        <w:t xml:space="preserve">at </w:t>
      </w:r>
      <w:r w:rsidR="00EB6523">
        <w:t xml:space="preserve">WEIS </w:t>
      </w:r>
      <w:r w:rsidR="00FF6B8D">
        <w:t>P</w:t>
      </w:r>
      <w:r w:rsidR="001B3F98">
        <w:t>N</w:t>
      </w:r>
      <w:r w:rsidR="00FF6B8D">
        <w:t xml:space="preserve">odes </w:t>
      </w:r>
      <w:r w:rsidR="00DF7DF5">
        <w:t xml:space="preserve">between 1/1/2024 </w:t>
      </w:r>
      <w:r w:rsidR="00D222A7">
        <w:t xml:space="preserve">and </w:t>
      </w:r>
      <w:r w:rsidR="00DF7DF5">
        <w:t>12/31/</w:t>
      </w:r>
      <w:r w:rsidR="0084414B">
        <w:t>2024</w:t>
      </w:r>
      <w:r w:rsidR="007E3EF3">
        <w:t xml:space="preserve"> to discover </w:t>
      </w:r>
      <w:r w:rsidR="00345B7A">
        <w:t xml:space="preserve">whether </w:t>
      </w:r>
      <w:r w:rsidR="00466D7A">
        <w:t>groupings of similar PNodes</w:t>
      </w:r>
      <w:r w:rsidR="00345B7A">
        <w:t xml:space="preserve"> existed in WEIS</w:t>
      </w:r>
      <w:r w:rsidR="00E33E97">
        <w:t xml:space="preserve">. </w:t>
      </w:r>
      <w:r w:rsidR="00DF7DF5">
        <w:t>Real-time</w:t>
      </w:r>
      <w:r w:rsidR="00DF3AC0">
        <w:t xml:space="preserve"> LMP</w:t>
      </w:r>
      <w:r w:rsidR="00A156BE">
        <w:t>s</w:t>
      </w:r>
      <w:r w:rsidR="00DF3AC0">
        <w:t xml:space="preserve"> </w:t>
      </w:r>
      <w:r w:rsidR="004C605F">
        <w:t xml:space="preserve">were sourced from </w:t>
      </w:r>
      <w:r w:rsidR="001B3F98">
        <w:t>the SPP Portal</w:t>
      </w:r>
      <w:r w:rsidR="00A156BE">
        <w:t xml:space="preserve"> </w:t>
      </w:r>
      <w:r w:rsidR="00023D4C">
        <w:t>for each month</w:t>
      </w:r>
      <w:r w:rsidR="006A6000">
        <w:t xml:space="preserve"> throughout </w:t>
      </w:r>
      <w:r w:rsidR="00405425">
        <w:t>2024</w:t>
      </w:r>
      <w:r w:rsidR="00351A6E">
        <w:t>.</w:t>
      </w:r>
      <w:r w:rsidR="00351A6E" w:rsidRPr="00351A6E">
        <w:rPr>
          <w:rStyle w:val="FootnoteReference"/>
        </w:rPr>
        <w:t xml:space="preserve"> </w:t>
      </w:r>
      <w:r w:rsidR="00351A6E">
        <w:rPr>
          <w:rStyle w:val="FootnoteReference"/>
        </w:rPr>
        <w:footnoteReference w:id="7"/>
      </w:r>
      <w:r w:rsidR="00351A6E">
        <w:t xml:space="preserve">  Once </w:t>
      </w:r>
      <w:r w:rsidR="00023D4C">
        <w:t>duplicate values were removed</w:t>
      </w:r>
      <w:r w:rsidR="00351A6E">
        <w:t xml:space="preserve">, </w:t>
      </w:r>
      <w:r w:rsidR="006A6000">
        <w:t xml:space="preserve">real-time </w:t>
      </w:r>
      <w:r w:rsidR="002576CC">
        <w:t xml:space="preserve">LMPs were </w:t>
      </w:r>
      <w:r w:rsidR="00E07402">
        <w:t xml:space="preserve">then </w:t>
      </w:r>
      <w:r w:rsidR="002576CC">
        <w:t xml:space="preserve">sorted by interval id and PNode name. </w:t>
      </w:r>
      <w:r w:rsidR="001E2226">
        <w:t>Each interval id</w:t>
      </w:r>
      <w:r w:rsidR="0082164C">
        <w:t xml:space="preserve"> was replaced with </w:t>
      </w:r>
      <w:r w:rsidR="009B0442">
        <w:t xml:space="preserve">a </w:t>
      </w:r>
      <w:r w:rsidR="0063743D">
        <w:t xml:space="preserve">unique </w:t>
      </w:r>
      <w:r w:rsidR="0082164C">
        <w:t xml:space="preserve">numerical value </w:t>
      </w:r>
      <w:r w:rsidR="0063743D">
        <w:t xml:space="preserve">corresponding to </w:t>
      </w:r>
      <w:r w:rsidR="00EB195F">
        <w:t xml:space="preserve">its </w:t>
      </w:r>
      <w:r w:rsidR="0063743D">
        <w:t>observation</w:t>
      </w:r>
      <w:r w:rsidR="0063743D" w:rsidRPr="002C7315">
        <w:t xml:space="preserve"> </w:t>
      </w:r>
      <m:oMath>
        <m:r>
          <w:rPr>
            <w:rFonts w:ascii="Cambria Math" w:hAnsi="Cambria Math"/>
          </w:rPr>
          <m:t>n</m:t>
        </m:r>
      </m:oMath>
      <w:r w:rsidR="002C7315">
        <w:rPr>
          <w:rFonts w:eastAsiaTheme="minorEastAsia"/>
          <w:sz w:val="24"/>
          <w:szCs w:val="24"/>
        </w:rPr>
        <w:t xml:space="preserve"> </w:t>
      </w:r>
      <w:r w:rsidR="002C7315" w:rsidRPr="006A6000">
        <w:rPr>
          <w:rFonts w:eastAsiaTheme="minorEastAsia"/>
        </w:rPr>
        <w:t>within the set</w:t>
      </w:r>
      <w:r w:rsidR="006A6000" w:rsidRPr="006A6000">
        <w:rPr>
          <w:rFonts w:eastAsiaTheme="minorEastAsia"/>
        </w:rPr>
        <w:t xml:space="preserve"> of all observations</w:t>
      </w:r>
      <w:r w:rsidR="002C7315">
        <w:rPr>
          <w:rFonts w:eastAsiaTheme="minorEastAsia"/>
          <w:sz w:val="24"/>
          <w:szCs w:val="24"/>
        </w:rPr>
        <w:t xml:space="preserve"> </w:t>
      </w:r>
      <m:oMath>
        <m:r>
          <w:rPr>
            <w:rFonts w:ascii="Cambria Math" w:eastAsiaTheme="minorEastAsia" w:hAnsi="Cambria Math"/>
            <w:sz w:val="24"/>
            <w:szCs w:val="24"/>
          </w:rPr>
          <m:t>N.</m:t>
        </m:r>
      </m:oMath>
      <w:r w:rsidR="00D50A37">
        <w:rPr>
          <w:rFonts w:eastAsiaTheme="minorEastAsia"/>
          <w:sz w:val="24"/>
          <w:szCs w:val="24"/>
        </w:rPr>
        <w:t xml:space="preserve"> </w:t>
      </w:r>
    </w:p>
    <w:p w14:paraId="00DB7713" w14:textId="25805F41" w:rsidR="006E7069" w:rsidRDefault="007C2F8F" w:rsidP="00180897">
      <w:r>
        <w:t xml:space="preserve">An initial application of the </w:t>
      </w:r>
      <w:r w:rsidR="00984744">
        <w:t xml:space="preserve">SAS® </w:t>
      </w:r>
      <w:r>
        <w:t xml:space="preserve">FASTCLUS procedure </w:t>
      </w:r>
      <w:r w:rsidR="00985AF2">
        <w:t>was performed</w:t>
      </w:r>
      <w:r w:rsidR="00FA5325">
        <w:t xml:space="preserve"> with the</w:t>
      </w:r>
      <w:r w:rsidR="00A07E5E">
        <w:t xml:space="preserve"> maximum number of clusters set equal to </w:t>
      </w:r>
      <w:r w:rsidR="00A4192E">
        <w:t>30</w:t>
      </w:r>
      <w:r w:rsidR="00E33E97" w:rsidRPr="00E33E97">
        <w:t xml:space="preserve"> </w:t>
      </w:r>
      <w:r w:rsidR="00FA5325">
        <w:t xml:space="preserve">and </w:t>
      </w:r>
      <w:r w:rsidR="004D7A1C">
        <w:t>iterations</w:t>
      </w:r>
      <w:r w:rsidR="00FA5325">
        <w:t xml:space="preserve"> set</w:t>
      </w:r>
      <w:r w:rsidR="009E551B">
        <w:t xml:space="preserve"> </w:t>
      </w:r>
      <w:r w:rsidR="004D7A1C">
        <w:t xml:space="preserve">equal </w:t>
      </w:r>
      <w:r w:rsidR="009E551B">
        <w:t xml:space="preserve">to </w:t>
      </w:r>
      <w:r w:rsidR="001828B1">
        <w:t>100.</w:t>
      </w:r>
      <w:r w:rsidR="00C570E6">
        <w:t xml:space="preserve"> </w:t>
      </w:r>
      <w:r w:rsidR="004A4A77">
        <w:rPr>
          <w:rStyle w:val="FootnoteReference"/>
        </w:rPr>
        <w:footnoteReference w:id="8"/>
      </w:r>
      <w:r w:rsidR="00F84D0A">
        <w:t xml:space="preserve"> </w:t>
      </w:r>
      <w:r w:rsidR="00CE41C5" w:rsidRPr="004D7A1C">
        <w:t>Clusters</w:t>
      </w:r>
      <w:r w:rsidR="00CE41C5">
        <w:t xml:space="preserve"> </w:t>
      </w:r>
      <w:r w:rsidR="00FE3E33">
        <w:t xml:space="preserve">with sufficient frequency </w:t>
      </w:r>
      <w:r w:rsidR="00A07243">
        <w:t>(</w:t>
      </w:r>
      <w:r w:rsidR="0042191B">
        <w:t>i.e.,</w:t>
      </w:r>
      <w:r w:rsidR="008C5B0B">
        <w:t xml:space="preserve"> </w:t>
      </w:r>
      <w:r w:rsidR="0042191B">
        <w:t>number of PNodes</w:t>
      </w:r>
      <w:r w:rsidR="00A20AEE">
        <w:t xml:space="preserve">) whose Euclidian distance (i.e., </w:t>
      </w:r>
      <w:r w:rsidR="00525BB7" w:rsidRPr="00525BB7">
        <w:t>maximum straight-line distance between</w:t>
      </w:r>
      <w:r w:rsidR="00526184">
        <w:t xml:space="preserve"> the arithmetic average of the observations forming each cluster and</w:t>
      </w:r>
      <w:r w:rsidR="00730521">
        <w:t xml:space="preserve"> the</w:t>
      </w:r>
      <w:r w:rsidR="00525BB7" w:rsidRPr="00525BB7">
        <w:t xml:space="preserve"> observation farthest </w:t>
      </w:r>
      <w:r w:rsidR="00730521">
        <w:t>from th</w:t>
      </w:r>
      <w:r w:rsidR="00934014">
        <w:t>at</w:t>
      </w:r>
      <w:r w:rsidR="00730521">
        <w:t xml:space="preserve"> average) </w:t>
      </w:r>
      <w:r w:rsidR="00261B03">
        <w:t xml:space="preserve">indicated </w:t>
      </w:r>
      <w:r w:rsidR="00455F6D">
        <w:t xml:space="preserve">there was not much difference in the </w:t>
      </w:r>
      <w:r w:rsidR="00261B03">
        <w:t>real-time LMPs contained within a cluster</w:t>
      </w:r>
      <w:r w:rsidR="00455F6D">
        <w:t xml:space="preserve"> and the average LMP</w:t>
      </w:r>
      <w:r w:rsidR="00261B03">
        <w:t xml:space="preserve">, </w:t>
      </w:r>
      <w:r w:rsidR="00152DD7">
        <w:t xml:space="preserve">were </w:t>
      </w:r>
      <w:r w:rsidR="00261B03">
        <w:t>then</w:t>
      </w:r>
      <w:r w:rsidR="000138D8">
        <w:t xml:space="preserve"> </w:t>
      </w:r>
      <w:r w:rsidR="00D47424">
        <w:t>subject to multiple</w:t>
      </w:r>
      <w:r w:rsidR="0028433C">
        <w:t xml:space="preserve"> application</w:t>
      </w:r>
      <w:r w:rsidR="00D47424">
        <w:t>s</w:t>
      </w:r>
      <w:r w:rsidR="0074289B">
        <w:t xml:space="preserve"> </w:t>
      </w:r>
      <w:r w:rsidR="0074289B">
        <w:lastRenderedPageBreak/>
        <w:t>of the</w:t>
      </w:r>
      <w:r w:rsidR="00632435">
        <w:t xml:space="preserve"> SAS®</w:t>
      </w:r>
      <w:r w:rsidR="0074289B">
        <w:t xml:space="preserve"> FASTCLUS </w:t>
      </w:r>
      <w:r w:rsidR="00690B1D">
        <w:t>procedure</w:t>
      </w:r>
      <w:r w:rsidR="00073F5A" w:rsidRPr="00073F5A">
        <w:t xml:space="preserve"> </w:t>
      </w:r>
      <w:r w:rsidR="00D47424">
        <w:t>until a</w:t>
      </w:r>
      <w:r w:rsidR="00073F5A">
        <w:t xml:space="preserve"> maximum number of </w:t>
      </w:r>
      <w:r w:rsidR="00D47424">
        <w:t xml:space="preserve">10 </w:t>
      </w:r>
      <w:r w:rsidR="00073F5A">
        <w:t>clusters</w:t>
      </w:r>
      <w:r w:rsidR="00D47424">
        <w:t xml:space="preserve"> were identified with no more than </w:t>
      </w:r>
      <w:r w:rsidR="00073F5A">
        <w:t>100</w:t>
      </w:r>
      <w:r w:rsidR="00D47424">
        <w:t xml:space="preserve"> iterations</w:t>
      </w:r>
      <w:r w:rsidR="00073F5A">
        <w:t>.</w:t>
      </w:r>
    </w:p>
    <w:p w14:paraId="696E18E1" w14:textId="09C86CB1" w:rsidR="00726F74" w:rsidRDefault="00073F5A" w:rsidP="00180897">
      <w:r>
        <w:t>The r</w:t>
      </w:r>
      <w:r w:rsidR="00B26948">
        <w:t xml:space="preserve">esulting </w:t>
      </w:r>
      <w:r w:rsidR="0028433C">
        <w:t xml:space="preserve">10 </w:t>
      </w:r>
      <w:r w:rsidR="00B26948">
        <w:t xml:space="preserve">clusters were </w:t>
      </w:r>
      <w:r w:rsidR="00896C71">
        <w:t xml:space="preserve">then </w:t>
      </w:r>
      <w:r w:rsidR="00B26948">
        <w:t xml:space="preserve">graded in line with the requirements set forth in </w:t>
      </w:r>
      <w:r w:rsidR="00B26948" w:rsidRPr="00EC523B">
        <w:t xml:space="preserve">Section 3.1.1 </w:t>
      </w:r>
      <w:r w:rsidR="00F617B1">
        <w:t>of</w:t>
      </w:r>
      <w:r w:rsidR="008848AB">
        <w:t xml:space="preserve"> </w:t>
      </w:r>
      <w:r w:rsidR="00B26948" w:rsidRPr="00EC523B">
        <w:t>Attachment AE of SPP’s Open Access Transmission Tariff</w:t>
      </w:r>
      <w:r w:rsidR="0094500B">
        <w:t xml:space="preserve">. Namely </w:t>
      </w:r>
      <w:r w:rsidR="000B5D4A">
        <w:t>whether</w:t>
      </w:r>
      <w:r w:rsidR="0094500B">
        <w:t xml:space="preserve"> an </w:t>
      </w:r>
      <w:r w:rsidR="0094500B" w:rsidRPr="0094500B">
        <w:t xml:space="preserve">LMP </w:t>
      </w:r>
      <w:r w:rsidR="0094500B">
        <w:t>could</w:t>
      </w:r>
      <w:r w:rsidR="0094500B" w:rsidRPr="0094500B">
        <w:t xml:space="preserve"> </w:t>
      </w:r>
      <w:r w:rsidR="000B5D4A" w:rsidRPr="0094500B">
        <w:t>always</w:t>
      </w:r>
      <w:r w:rsidR="000B5D4A">
        <w:t xml:space="preserve"> be</w:t>
      </w:r>
      <w:r w:rsidR="000B5D4A" w:rsidRPr="0094500B">
        <w:t xml:space="preserve"> calculated</w:t>
      </w:r>
      <w:r w:rsidR="0094500B" w:rsidRPr="0094500B">
        <w:t xml:space="preserve">, even </w:t>
      </w:r>
      <w:r w:rsidR="008848AB">
        <w:t>if a</w:t>
      </w:r>
      <w:r w:rsidR="0094500B">
        <w:t xml:space="preserve"> PNode </w:t>
      </w:r>
      <w:r w:rsidR="000B5D4A">
        <w:t>were</w:t>
      </w:r>
      <w:r w:rsidR="001928FF">
        <w:t xml:space="preserve"> </w:t>
      </w:r>
      <w:r w:rsidR="0094500B" w:rsidRPr="0094500B">
        <w:t>unavailable or adjacent to a line outage</w:t>
      </w:r>
      <w:r w:rsidR="00B96C40">
        <w:t xml:space="preserve">, </w:t>
      </w:r>
      <w:r w:rsidR="0094500B" w:rsidRPr="0094500B">
        <w:t xml:space="preserve">a relatively high rate of service availability </w:t>
      </w:r>
      <w:r w:rsidR="00893255">
        <w:t>exist</w:t>
      </w:r>
      <w:r w:rsidR="00CB73CF">
        <w:t>s</w:t>
      </w:r>
      <w:r w:rsidR="00893255">
        <w:t xml:space="preserve"> </w:t>
      </w:r>
      <w:r w:rsidR="0094500B" w:rsidRPr="0094500B">
        <w:t>among which Transmission Service is relatively unconstrained</w:t>
      </w:r>
      <w:r w:rsidR="00B96C40">
        <w:t xml:space="preserve">, and the PNodes contained within </w:t>
      </w:r>
      <w:r w:rsidR="00F617B1">
        <w:t xml:space="preserve">the cluster </w:t>
      </w:r>
      <w:r w:rsidR="00B96C40">
        <w:t xml:space="preserve">do not represent only the </w:t>
      </w:r>
      <w:r w:rsidR="0094500B" w:rsidRPr="0094500B">
        <w:t>combined loads and Resources of a</w:t>
      </w:r>
      <w:r w:rsidR="001928FF">
        <w:t xml:space="preserve"> </w:t>
      </w:r>
      <w:r w:rsidR="0094500B" w:rsidRPr="0094500B">
        <w:t>single vertically integrated utility</w:t>
      </w:r>
      <w:r w:rsidR="001928FF">
        <w:t>.</w:t>
      </w:r>
      <w:r w:rsidR="000936AB">
        <w:t xml:space="preserve"> </w:t>
      </w:r>
      <w:r w:rsidR="000936AB" w:rsidRPr="000936AB">
        <w:t xml:space="preserve">An ideal </w:t>
      </w:r>
      <w:r w:rsidR="000936AB">
        <w:t xml:space="preserve">Trading </w:t>
      </w:r>
      <w:r w:rsidR="000936AB" w:rsidRPr="000936AB">
        <w:t xml:space="preserve">hub </w:t>
      </w:r>
      <w:r w:rsidR="00096D27">
        <w:t xml:space="preserve">is one that </w:t>
      </w:r>
      <w:r w:rsidR="000936AB" w:rsidRPr="000936AB">
        <w:t>has a high number of P</w:t>
      </w:r>
      <w:r w:rsidR="00096D27">
        <w:t>N</w:t>
      </w:r>
      <w:r w:rsidR="000936AB" w:rsidRPr="000936AB">
        <w:t>odes and a low standard deviation.</w:t>
      </w:r>
      <w:r w:rsidR="007F5645">
        <w:t xml:space="preserve"> </w:t>
      </w:r>
      <w:r w:rsidR="007F5645">
        <w:fldChar w:fldCharType="begin"/>
      </w:r>
      <w:r w:rsidR="007F5645">
        <w:instrText xml:space="preserve"> REF _Ref216877958 \h </w:instrText>
      </w:r>
      <w:r w:rsidR="007F5645">
        <w:fldChar w:fldCharType="separate"/>
      </w:r>
      <w:r w:rsidR="007F5645">
        <w:t xml:space="preserve">Table </w:t>
      </w:r>
      <w:r w:rsidR="007F5645">
        <w:rPr>
          <w:noProof/>
        </w:rPr>
        <w:t>1</w:t>
      </w:r>
      <w:r w:rsidR="007F5645">
        <w:fldChar w:fldCharType="end"/>
      </w:r>
      <w:r w:rsidR="007F5645">
        <w:t xml:space="preserve"> </w:t>
      </w:r>
      <w:r w:rsidR="00726F74" w:rsidRPr="00726F74">
        <w:t>below compares the frequency, root-mean standard deviation</w:t>
      </w:r>
      <w:r w:rsidR="00A07198">
        <w:t xml:space="preserve"> (“RMSD”)</w:t>
      </w:r>
      <w:r w:rsidR="00726F74" w:rsidRPr="00726F74">
        <w:t>, and Euclidian distance reported</w:t>
      </w:r>
      <w:r w:rsidR="00726F74">
        <w:t xml:space="preserve"> for </w:t>
      </w:r>
      <w:r w:rsidR="006B3350">
        <w:t xml:space="preserve">the 10 clusters. </w:t>
      </w:r>
    </w:p>
    <w:p w14:paraId="3548BE8C" w14:textId="0DD56AAD" w:rsidR="007F5645" w:rsidRDefault="007F5645" w:rsidP="007F5645">
      <w:pPr>
        <w:pStyle w:val="Caption"/>
        <w:jc w:val="center"/>
      </w:pPr>
      <w:bookmarkStart w:id="11" w:name="_Ref216877958"/>
      <w:r>
        <w:t xml:space="preserve">Table </w:t>
      </w:r>
      <w:fldSimple w:instr=" SEQ Table \* ARABIC ">
        <w:r>
          <w:rPr>
            <w:noProof/>
          </w:rPr>
          <w:t>1</w:t>
        </w:r>
      </w:fldSimple>
      <w:bookmarkEnd w:id="11"/>
      <w:r>
        <w:t>. F</w:t>
      </w:r>
      <w:r w:rsidRPr="007F5645">
        <w:t>requency, RMSD, and Euclidian distance</w:t>
      </w:r>
      <w:r>
        <w:t xml:space="preserve"> reported for 10 clusters</w:t>
      </w:r>
    </w:p>
    <w:tbl>
      <w:tblPr>
        <w:tblStyle w:val="SPPOfficialTableDefaultTable"/>
        <w:tblW w:w="0" w:type="auto"/>
        <w:tblLook w:val="04A0" w:firstRow="1" w:lastRow="0" w:firstColumn="1" w:lastColumn="0" w:noHBand="0" w:noVBand="1"/>
      </w:tblPr>
      <w:tblGrid>
        <w:gridCol w:w="2335"/>
        <w:gridCol w:w="2338"/>
        <w:gridCol w:w="2338"/>
        <w:gridCol w:w="2339"/>
      </w:tblGrid>
      <w:tr w:rsidR="00A60934" w:rsidRPr="00A60934" w14:paraId="005A82EF" w14:textId="77777777" w:rsidTr="007F564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3B83A5CF" w14:textId="7854D254" w:rsidR="00A60934" w:rsidRPr="00C05CF8" w:rsidRDefault="00A60934" w:rsidP="00501ACF">
            <w:pPr>
              <w:spacing w:after="0"/>
              <w:rPr>
                <w:rFonts w:cs="Segoe UI"/>
                <w:b w:val="0"/>
                <w:bCs/>
              </w:rPr>
            </w:pPr>
            <w:r w:rsidRPr="00C05CF8">
              <w:rPr>
                <w:rFonts w:cs="Segoe UI"/>
                <w:bCs/>
              </w:rPr>
              <w:t>Cluster #</w:t>
            </w:r>
          </w:p>
        </w:tc>
        <w:tc>
          <w:tcPr>
            <w:tcW w:w="2338" w:type="dxa"/>
          </w:tcPr>
          <w:p w14:paraId="1C430FF4" w14:textId="44FD21D0" w:rsidR="00A60934" w:rsidRPr="00C05CF8" w:rsidRDefault="00A60934" w:rsidP="00501ACF">
            <w:pPr>
              <w:spacing w:after="0"/>
              <w:cnfStyle w:val="100000000000" w:firstRow="1" w:lastRow="0" w:firstColumn="0" w:lastColumn="0" w:oddVBand="0" w:evenVBand="0" w:oddHBand="0" w:evenHBand="0" w:firstRowFirstColumn="0" w:firstRowLastColumn="0" w:lastRowFirstColumn="0" w:lastRowLastColumn="0"/>
              <w:rPr>
                <w:rFonts w:cs="Segoe UI"/>
                <w:b w:val="0"/>
                <w:bCs/>
              </w:rPr>
            </w:pPr>
            <w:r w:rsidRPr="00C05CF8">
              <w:rPr>
                <w:rFonts w:cs="Segoe UI"/>
                <w:bCs/>
              </w:rPr>
              <w:t>Frequency</w:t>
            </w:r>
          </w:p>
        </w:tc>
        <w:tc>
          <w:tcPr>
            <w:tcW w:w="2338" w:type="dxa"/>
          </w:tcPr>
          <w:p w14:paraId="53C7CD4B" w14:textId="0D368864" w:rsidR="00A60934" w:rsidRPr="00C05CF8" w:rsidRDefault="00A07198" w:rsidP="00501ACF">
            <w:pPr>
              <w:spacing w:after="0"/>
              <w:cnfStyle w:val="100000000000" w:firstRow="1" w:lastRow="0" w:firstColumn="0" w:lastColumn="0" w:oddVBand="0" w:evenVBand="0" w:oddHBand="0" w:evenHBand="0" w:firstRowFirstColumn="0" w:firstRowLastColumn="0" w:lastRowFirstColumn="0" w:lastRowLastColumn="0"/>
              <w:rPr>
                <w:rFonts w:cs="Segoe UI"/>
                <w:b w:val="0"/>
                <w:bCs/>
              </w:rPr>
            </w:pPr>
            <w:r w:rsidRPr="00C05CF8">
              <w:rPr>
                <w:rFonts w:cs="Segoe UI"/>
                <w:bCs/>
              </w:rPr>
              <w:t>RMSD</w:t>
            </w:r>
          </w:p>
        </w:tc>
        <w:tc>
          <w:tcPr>
            <w:tcW w:w="2339" w:type="dxa"/>
          </w:tcPr>
          <w:p w14:paraId="447CBC8F" w14:textId="0C176002" w:rsidR="00A60934" w:rsidRPr="00C05CF8" w:rsidRDefault="00A60934" w:rsidP="00501ACF">
            <w:pPr>
              <w:spacing w:after="0"/>
              <w:cnfStyle w:val="100000000000" w:firstRow="1" w:lastRow="0" w:firstColumn="0" w:lastColumn="0" w:oddVBand="0" w:evenVBand="0" w:oddHBand="0" w:evenHBand="0" w:firstRowFirstColumn="0" w:firstRowLastColumn="0" w:lastRowFirstColumn="0" w:lastRowLastColumn="0"/>
              <w:rPr>
                <w:rFonts w:cs="Segoe UI"/>
                <w:b w:val="0"/>
                <w:bCs/>
              </w:rPr>
            </w:pPr>
            <w:r w:rsidRPr="00C05CF8">
              <w:rPr>
                <w:rFonts w:cs="Segoe UI"/>
                <w:bCs/>
              </w:rPr>
              <w:t>Euclidian Distance</w:t>
            </w:r>
          </w:p>
        </w:tc>
      </w:tr>
      <w:tr w:rsidR="00A60934" w:rsidRPr="00A60934" w14:paraId="60389E70" w14:textId="77777777" w:rsidTr="007F564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335" w:type="dxa"/>
          </w:tcPr>
          <w:p w14:paraId="1E7D5464" w14:textId="2CD498DA" w:rsidR="00A60934" w:rsidRPr="00A60934" w:rsidRDefault="00501ACF" w:rsidP="00501ACF">
            <w:pPr>
              <w:spacing w:after="0"/>
              <w:jc w:val="center"/>
            </w:pPr>
            <w:r>
              <w:t>1</w:t>
            </w:r>
          </w:p>
        </w:tc>
        <w:tc>
          <w:tcPr>
            <w:tcW w:w="2338" w:type="dxa"/>
          </w:tcPr>
          <w:p w14:paraId="491B39A6" w14:textId="141147C9" w:rsidR="00EE0799" w:rsidRPr="00A60934" w:rsidRDefault="00EE0799" w:rsidP="00EE0799">
            <w:pPr>
              <w:spacing w:after="0"/>
              <w:jc w:val="center"/>
              <w:cnfStyle w:val="000000100000" w:firstRow="0" w:lastRow="0" w:firstColumn="0" w:lastColumn="0" w:oddVBand="0" w:evenVBand="0" w:oddHBand="1" w:evenHBand="0" w:firstRowFirstColumn="0" w:firstRowLastColumn="0" w:lastRowFirstColumn="0" w:lastRowLastColumn="0"/>
            </w:pPr>
            <w:r>
              <w:t>135</w:t>
            </w:r>
          </w:p>
        </w:tc>
        <w:tc>
          <w:tcPr>
            <w:tcW w:w="2338" w:type="dxa"/>
          </w:tcPr>
          <w:p w14:paraId="347F6D6C" w14:textId="0A59A518" w:rsidR="00A60934" w:rsidRPr="00A60934" w:rsidRDefault="00177FE0" w:rsidP="00501ACF">
            <w:pPr>
              <w:spacing w:after="0"/>
              <w:jc w:val="center"/>
              <w:cnfStyle w:val="000000100000" w:firstRow="0" w:lastRow="0" w:firstColumn="0" w:lastColumn="0" w:oddVBand="0" w:evenVBand="0" w:oddHBand="1" w:evenHBand="0" w:firstRowFirstColumn="0" w:firstRowLastColumn="0" w:lastRowFirstColumn="0" w:lastRowLastColumn="0"/>
            </w:pPr>
            <w:r>
              <w:t>2.16</w:t>
            </w:r>
          </w:p>
        </w:tc>
        <w:tc>
          <w:tcPr>
            <w:tcW w:w="2339" w:type="dxa"/>
          </w:tcPr>
          <w:p w14:paraId="17959317" w14:textId="1DEE8460" w:rsidR="00A60934" w:rsidRPr="00A60934" w:rsidRDefault="00177FE0" w:rsidP="00501ACF">
            <w:pPr>
              <w:spacing w:after="0"/>
              <w:jc w:val="center"/>
              <w:cnfStyle w:val="000000100000" w:firstRow="0" w:lastRow="0" w:firstColumn="0" w:lastColumn="0" w:oddVBand="0" w:evenVBand="0" w:oddHBand="1" w:evenHBand="0" w:firstRowFirstColumn="0" w:firstRowLastColumn="0" w:lastRowFirstColumn="0" w:lastRowLastColumn="0"/>
            </w:pPr>
            <w:r>
              <w:t>137.5</w:t>
            </w:r>
          </w:p>
        </w:tc>
      </w:tr>
      <w:tr w:rsidR="00A60934" w:rsidRPr="00A60934" w14:paraId="0DB7EFA7" w14:textId="77777777" w:rsidTr="007F564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3CC82D5C" w14:textId="72F8A907" w:rsidR="00A60934" w:rsidRPr="00A60934" w:rsidRDefault="00501ACF" w:rsidP="00501ACF">
            <w:pPr>
              <w:spacing w:after="0"/>
              <w:jc w:val="center"/>
            </w:pPr>
            <w:r>
              <w:t>2</w:t>
            </w:r>
          </w:p>
        </w:tc>
        <w:tc>
          <w:tcPr>
            <w:tcW w:w="2338" w:type="dxa"/>
          </w:tcPr>
          <w:p w14:paraId="6680FD16" w14:textId="4C5AC3D6" w:rsidR="00A60934" w:rsidRPr="00A60934" w:rsidRDefault="00177FE0" w:rsidP="00501ACF">
            <w:pPr>
              <w:spacing w:after="0"/>
              <w:jc w:val="center"/>
              <w:cnfStyle w:val="000000010000" w:firstRow="0" w:lastRow="0" w:firstColumn="0" w:lastColumn="0" w:oddVBand="0" w:evenVBand="0" w:oddHBand="0" w:evenHBand="1" w:firstRowFirstColumn="0" w:firstRowLastColumn="0" w:lastRowFirstColumn="0" w:lastRowLastColumn="0"/>
            </w:pPr>
            <w:r>
              <w:t>41</w:t>
            </w:r>
          </w:p>
        </w:tc>
        <w:tc>
          <w:tcPr>
            <w:tcW w:w="2338" w:type="dxa"/>
          </w:tcPr>
          <w:p w14:paraId="7D7A1D97" w14:textId="312A91E0" w:rsidR="00A60934" w:rsidRPr="00A60934" w:rsidRDefault="00177FE0" w:rsidP="00501ACF">
            <w:pPr>
              <w:spacing w:after="0"/>
              <w:jc w:val="center"/>
              <w:cnfStyle w:val="000000010000" w:firstRow="0" w:lastRow="0" w:firstColumn="0" w:lastColumn="0" w:oddVBand="0" w:evenVBand="0" w:oddHBand="0" w:evenHBand="1" w:firstRowFirstColumn="0" w:firstRowLastColumn="0" w:lastRowFirstColumn="0" w:lastRowLastColumn="0"/>
            </w:pPr>
            <w:r>
              <w:t>1.57</w:t>
            </w:r>
          </w:p>
        </w:tc>
        <w:tc>
          <w:tcPr>
            <w:tcW w:w="2339" w:type="dxa"/>
          </w:tcPr>
          <w:p w14:paraId="50CE1993" w14:textId="293F88DD" w:rsidR="00A60934" w:rsidRPr="00A60934" w:rsidRDefault="00177FE0" w:rsidP="00501ACF">
            <w:pPr>
              <w:spacing w:after="0"/>
              <w:jc w:val="center"/>
              <w:cnfStyle w:val="000000010000" w:firstRow="0" w:lastRow="0" w:firstColumn="0" w:lastColumn="0" w:oddVBand="0" w:evenVBand="0" w:oddHBand="0" w:evenHBand="1" w:firstRowFirstColumn="0" w:firstRowLastColumn="0" w:lastRowFirstColumn="0" w:lastRowLastColumn="0"/>
            </w:pPr>
            <w:r>
              <w:t>88.96</w:t>
            </w:r>
          </w:p>
        </w:tc>
      </w:tr>
      <w:tr w:rsidR="00A60934" w:rsidRPr="00A60934" w14:paraId="58C22E1D" w14:textId="77777777" w:rsidTr="007F5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627D74A2" w14:textId="48795679" w:rsidR="00A60934" w:rsidRPr="00A60934" w:rsidRDefault="00501ACF" w:rsidP="00501ACF">
            <w:pPr>
              <w:spacing w:after="0"/>
              <w:jc w:val="center"/>
            </w:pPr>
            <w:r>
              <w:t>3</w:t>
            </w:r>
          </w:p>
        </w:tc>
        <w:tc>
          <w:tcPr>
            <w:tcW w:w="2338" w:type="dxa"/>
          </w:tcPr>
          <w:p w14:paraId="01F066B6" w14:textId="4263D11A" w:rsidR="00A60934" w:rsidRPr="00A60934" w:rsidRDefault="00177FE0" w:rsidP="00501ACF">
            <w:pPr>
              <w:spacing w:after="0"/>
              <w:jc w:val="center"/>
              <w:cnfStyle w:val="000000100000" w:firstRow="0" w:lastRow="0" w:firstColumn="0" w:lastColumn="0" w:oddVBand="0" w:evenVBand="0" w:oddHBand="1" w:evenHBand="0" w:firstRowFirstColumn="0" w:firstRowLastColumn="0" w:lastRowFirstColumn="0" w:lastRowLastColumn="0"/>
            </w:pPr>
            <w:r>
              <w:t>131</w:t>
            </w:r>
          </w:p>
        </w:tc>
        <w:tc>
          <w:tcPr>
            <w:tcW w:w="2338" w:type="dxa"/>
          </w:tcPr>
          <w:p w14:paraId="7EA11141" w14:textId="4EC173F1" w:rsidR="00A60934" w:rsidRPr="00A60934" w:rsidRDefault="0058119F" w:rsidP="00501ACF">
            <w:pPr>
              <w:spacing w:after="0"/>
              <w:jc w:val="center"/>
              <w:cnfStyle w:val="000000100000" w:firstRow="0" w:lastRow="0" w:firstColumn="0" w:lastColumn="0" w:oddVBand="0" w:evenVBand="0" w:oddHBand="1" w:evenHBand="0" w:firstRowFirstColumn="0" w:firstRowLastColumn="0" w:lastRowFirstColumn="0" w:lastRowLastColumn="0"/>
            </w:pPr>
            <w:r>
              <w:t>1.48</w:t>
            </w:r>
          </w:p>
        </w:tc>
        <w:tc>
          <w:tcPr>
            <w:tcW w:w="2339" w:type="dxa"/>
          </w:tcPr>
          <w:p w14:paraId="041FF337" w14:textId="334BFA4B" w:rsidR="00A60934" w:rsidRPr="00A60934" w:rsidRDefault="0058119F" w:rsidP="00501ACF">
            <w:pPr>
              <w:spacing w:after="0"/>
              <w:jc w:val="center"/>
              <w:cnfStyle w:val="000000100000" w:firstRow="0" w:lastRow="0" w:firstColumn="0" w:lastColumn="0" w:oddVBand="0" w:evenVBand="0" w:oddHBand="1" w:evenHBand="0" w:firstRowFirstColumn="0" w:firstRowLastColumn="0" w:lastRowFirstColumn="0" w:lastRowLastColumn="0"/>
            </w:pPr>
            <w:r>
              <w:t>122.7</w:t>
            </w:r>
          </w:p>
        </w:tc>
      </w:tr>
      <w:tr w:rsidR="00A60934" w:rsidRPr="00A60934" w14:paraId="53C42432" w14:textId="77777777" w:rsidTr="007F564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3806143C" w14:textId="3B519200" w:rsidR="00A60934" w:rsidRPr="00A60934" w:rsidRDefault="00501ACF" w:rsidP="00501ACF">
            <w:pPr>
              <w:spacing w:after="0"/>
              <w:jc w:val="center"/>
            </w:pPr>
            <w:r>
              <w:t>4</w:t>
            </w:r>
          </w:p>
        </w:tc>
        <w:tc>
          <w:tcPr>
            <w:tcW w:w="2338" w:type="dxa"/>
          </w:tcPr>
          <w:p w14:paraId="5C43065B" w14:textId="69A1EC1A" w:rsidR="00A60934" w:rsidRPr="00A60934" w:rsidRDefault="0058119F" w:rsidP="00501ACF">
            <w:pPr>
              <w:spacing w:after="0"/>
              <w:jc w:val="center"/>
              <w:cnfStyle w:val="000000010000" w:firstRow="0" w:lastRow="0" w:firstColumn="0" w:lastColumn="0" w:oddVBand="0" w:evenVBand="0" w:oddHBand="0" w:evenHBand="1" w:firstRowFirstColumn="0" w:firstRowLastColumn="0" w:lastRowFirstColumn="0" w:lastRowLastColumn="0"/>
            </w:pPr>
            <w:r>
              <w:t>36</w:t>
            </w:r>
          </w:p>
        </w:tc>
        <w:tc>
          <w:tcPr>
            <w:tcW w:w="2338" w:type="dxa"/>
          </w:tcPr>
          <w:p w14:paraId="1257B29E" w14:textId="42870F59" w:rsidR="00A60934" w:rsidRPr="00A60934" w:rsidRDefault="005331B1" w:rsidP="00501ACF">
            <w:pPr>
              <w:spacing w:after="0"/>
              <w:jc w:val="center"/>
              <w:cnfStyle w:val="000000010000" w:firstRow="0" w:lastRow="0" w:firstColumn="0" w:lastColumn="0" w:oddVBand="0" w:evenVBand="0" w:oddHBand="0" w:evenHBand="1" w:firstRowFirstColumn="0" w:firstRowLastColumn="0" w:lastRowFirstColumn="0" w:lastRowLastColumn="0"/>
            </w:pPr>
            <w:r>
              <w:t>1.31</w:t>
            </w:r>
          </w:p>
        </w:tc>
        <w:tc>
          <w:tcPr>
            <w:tcW w:w="2339" w:type="dxa"/>
          </w:tcPr>
          <w:p w14:paraId="496C1DE8" w14:textId="761009F8" w:rsidR="005331B1" w:rsidRPr="00A60934" w:rsidRDefault="005331B1" w:rsidP="005331B1">
            <w:pPr>
              <w:spacing w:after="0"/>
              <w:jc w:val="center"/>
              <w:cnfStyle w:val="000000010000" w:firstRow="0" w:lastRow="0" w:firstColumn="0" w:lastColumn="0" w:oddVBand="0" w:evenVBand="0" w:oddHBand="0" w:evenHBand="1" w:firstRowFirstColumn="0" w:firstRowLastColumn="0" w:lastRowFirstColumn="0" w:lastRowLastColumn="0"/>
            </w:pPr>
            <w:r>
              <w:t>65.20</w:t>
            </w:r>
          </w:p>
        </w:tc>
      </w:tr>
      <w:tr w:rsidR="00A60934" w:rsidRPr="00A60934" w14:paraId="0238BBBD" w14:textId="77777777" w:rsidTr="007F5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652CBF5A" w14:textId="435ACC76" w:rsidR="00A60934" w:rsidRPr="00A60934" w:rsidRDefault="00501ACF" w:rsidP="00501ACF">
            <w:pPr>
              <w:spacing w:after="0"/>
              <w:jc w:val="center"/>
            </w:pPr>
            <w:r>
              <w:t>5</w:t>
            </w:r>
          </w:p>
        </w:tc>
        <w:tc>
          <w:tcPr>
            <w:tcW w:w="2338" w:type="dxa"/>
          </w:tcPr>
          <w:p w14:paraId="00B5C441" w14:textId="08D05FF6" w:rsidR="00A60934" w:rsidRPr="00A60934" w:rsidRDefault="008966F7" w:rsidP="00501ACF">
            <w:pPr>
              <w:spacing w:after="0"/>
              <w:jc w:val="center"/>
              <w:cnfStyle w:val="000000100000" w:firstRow="0" w:lastRow="0" w:firstColumn="0" w:lastColumn="0" w:oddVBand="0" w:evenVBand="0" w:oddHBand="1" w:evenHBand="0" w:firstRowFirstColumn="0" w:firstRowLastColumn="0" w:lastRowFirstColumn="0" w:lastRowLastColumn="0"/>
            </w:pPr>
            <w:r>
              <w:t>66</w:t>
            </w:r>
          </w:p>
        </w:tc>
        <w:tc>
          <w:tcPr>
            <w:tcW w:w="2338" w:type="dxa"/>
          </w:tcPr>
          <w:p w14:paraId="58369BF2" w14:textId="63D2547B" w:rsidR="00A60934" w:rsidRPr="00A60934" w:rsidRDefault="008966F7" w:rsidP="00501ACF">
            <w:pPr>
              <w:spacing w:after="0"/>
              <w:jc w:val="center"/>
              <w:cnfStyle w:val="000000100000" w:firstRow="0" w:lastRow="0" w:firstColumn="0" w:lastColumn="0" w:oddVBand="0" w:evenVBand="0" w:oddHBand="1" w:evenHBand="0" w:firstRowFirstColumn="0" w:firstRowLastColumn="0" w:lastRowFirstColumn="0" w:lastRowLastColumn="0"/>
            </w:pPr>
            <w:r>
              <w:t>0.90</w:t>
            </w:r>
          </w:p>
        </w:tc>
        <w:tc>
          <w:tcPr>
            <w:tcW w:w="2339" w:type="dxa"/>
          </w:tcPr>
          <w:p w14:paraId="420984CE" w14:textId="649A15C1" w:rsidR="00A60934" w:rsidRPr="00A60934" w:rsidRDefault="008966F7" w:rsidP="00501ACF">
            <w:pPr>
              <w:spacing w:after="0"/>
              <w:jc w:val="center"/>
              <w:cnfStyle w:val="000000100000" w:firstRow="0" w:lastRow="0" w:firstColumn="0" w:lastColumn="0" w:oddVBand="0" w:evenVBand="0" w:oddHBand="1" w:evenHBand="0" w:firstRowFirstColumn="0" w:firstRowLastColumn="0" w:lastRowFirstColumn="0" w:lastRowLastColumn="0"/>
            </w:pPr>
            <w:r>
              <w:t>85.02</w:t>
            </w:r>
          </w:p>
        </w:tc>
      </w:tr>
      <w:tr w:rsidR="00A60934" w:rsidRPr="00A60934" w14:paraId="0C3CC205" w14:textId="77777777" w:rsidTr="007F564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6BF461CA" w14:textId="0D62A921" w:rsidR="00A60934" w:rsidRPr="00A60934" w:rsidRDefault="00501ACF" w:rsidP="00501ACF">
            <w:pPr>
              <w:spacing w:after="0"/>
              <w:jc w:val="center"/>
            </w:pPr>
            <w:r>
              <w:t>6</w:t>
            </w:r>
          </w:p>
        </w:tc>
        <w:tc>
          <w:tcPr>
            <w:tcW w:w="2338" w:type="dxa"/>
          </w:tcPr>
          <w:p w14:paraId="19588270" w14:textId="16708C4E" w:rsidR="00A60934" w:rsidRPr="00A60934" w:rsidRDefault="008966F7" w:rsidP="00501ACF">
            <w:pPr>
              <w:spacing w:after="0"/>
              <w:jc w:val="center"/>
              <w:cnfStyle w:val="000000010000" w:firstRow="0" w:lastRow="0" w:firstColumn="0" w:lastColumn="0" w:oddVBand="0" w:evenVBand="0" w:oddHBand="0" w:evenHBand="1" w:firstRowFirstColumn="0" w:firstRowLastColumn="0" w:lastRowFirstColumn="0" w:lastRowLastColumn="0"/>
            </w:pPr>
            <w:r>
              <w:t>69</w:t>
            </w:r>
          </w:p>
        </w:tc>
        <w:tc>
          <w:tcPr>
            <w:tcW w:w="2338" w:type="dxa"/>
          </w:tcPr>
          <w:p w14:paraId="7390C67F" w14:textId="69214E14" w:rsidR="00A60934" w:rsidRPr="00A60934" w:rsidRDefault="008966F7" w:rsidP="00501ACF">
            <w:pPr>
              <w:spacing w:after="0"/>
              <w:jc w:val="center"/>
              <w:cnfStyle w:val="000000010000" w:firstRow="0" w:lastRow="0" w:firstColumn="0" w:lastColumn="0" w:oddVBand="0" w:evenVBand="0" w:oddHBand="0" w:evenHBand="1" w:firstRowFirstColumn="0" w:firstRowLastColumn="0" w:lastRowFirstColumn="0" w:lastRowLastColumn="0"/>
            </w:pPr>
            <w:r>
              <w:t>2.</w:t>
            </w:r>
            <w:r w:rsidR="00EA4BFE">
              <w:t>08</w:t>
            </w:r>
          </w:p>
        </w:tc>
        <w:tc>
          <w:tcPr>
            <w:tcW w:w="2339" w:type="dxa"/>
          </w:tcPr>
          <w:p w14:paraId="141BDEBD" w14:textId="58572417" w:rsidR="00A60934" w:rsidRPr="00A60934" w:rsidRDefault="00EA4BFE" w:rsidP="00501ACF">
            <w:pPr>
              <w:spacing w:after="0"/>
              <w:jc w:val="center"/>
              <w:cnfStyle w:val="000000010000" w:firstRow="0" w:lastRow="0" w:firstColumn="0" w:lastColumn="0" w:oddVBand="0" w:evenVBand="0" w:oddHBand="0" w:evenHBand="1" w:firstRowFirstColumn="0" w:firstRowLastColumn="0" w:lastRowFirstColumn="0" w:lastRowLastColumn="0"/>
            </w:pPr>
            <w:r>
              <w:t>139.8</w:t>
            </w:r>
          </w:p>
        </w:tc>
      </w:tr>
      <w:tr w:rsidR="00A60934" w:rsidRPr="00A60934" w14:paraId="660204FD" w14:textId="77777777" w:rsidTr="007F5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375F5617" w14:textId="1CFF1DCC" w:rsidR="00A60934" w:rsidRPr="00A60934" w:rsidRDefault="00501ACF" w:rsidP="00501ACF">
            <w:pPr>
              <w:spacing w:after="0"/>
              <w:jc w:val="center"/>
            </w:pPr>
            <w:r>
              <w:t>7</w:t>
            </w:r>
          </w:p>
        </w:tc>
        <w:tc>
          <w:tcPr>
            <w:tcW w:w="2338" w:type="dxa"/>
          </w:tcPr>
          <w:p w14:paraId="5F7674EA" w14:textId="7C2102B4" w:rsidR="00A60934" w:rsidRPr="00A60934" w:rsidRDefault="00EA4BFE" w:rsidP="00501ACF">
            <w:pPr>
              <w:spacing w:after="0"/>
              <w:jc w:val="center"/>
              <w:cnfStyle w:val="000000100000" w:firstRow="0" w:lastRow="0" w:firstColumn="0" w:lastColumn="0" w:oddVBand="0" w:evenVBand="0" w:oddHBand="1" w:evenHBand="0" w:firstRowFirstColumn="0" w:firstRowLastColumn="0" w:lastRowFirstColumn="0" w:lastRowLastColumn="0"/>
            </w:pPr>
            <w:r>
              <w:t>129</w:t>
            </w:r>
          </w:p>
        </w:tc>
        <w:tc>
          <w:tcPr>
            <w:tcW w:w="2338" w:type="dxa"/>
          </w:tcPr>
          <w:p w14:paraId="5E701690" w14:textId="5764F944" w:rsidR="00A60934" w:rsidRPr="00A60934" w:rsidRDefault="00EA4BFE" w:rsidP="00501ACF">
            <w:pPr>
              <w:spacing w:after="0"/>
              <w:jc w:val="center"/>
              <w:cnfStyle w:val="000000100000" w:firstRow="0" w:lastRow="0" w:firstColumn="0" w:lastColumn="0" w:oddVBand="0" w:evenVBand="0" w:oddHBand="1" w:evenHBand="0" w:firstRowFirstColumn="0" w:firstRowLastColumn="0" w:lastRowFirstColumn="0" w:lastRowLastColumn="0"/>
            </w:pPr>
            <w:r>
              <w:t>2.55</w:t>
            </w:r>
          </w:p>
        </w:tc>
        <w:tc>
          <w:tcPr>
            <w:tcW w:w="2339" w:type="dxa"/>
          </w:tcPr>
          <w:p w14:paraId="0D1E7F30" w14:textId="5795CE18" w:rsidR="00A60934" w:rsidRPr="00A60934" w:rsidRDefault="00EA4BFE" w:rsidP="00501ACF">
            <w:pPr>
              <w:spacing w:after="0"/>
              <w:jc w:val="center"/>
              <w:cnfStyle w:val="000000100000" w:firstRow="0" w:lastRow="0" w:firstColumn="0" w:lastColumn="0" w:oddVBand="0" w:evenVBand="0" w:oddHBand="1" w:evenHBand="0" w:firstRowFirstColumn="0" w:firstRowLastColumn="0" w:lastRowFirstColumn="0" w:lastRowLastColumn="0"/>
            </w:pPr>
            <w:r>
              <w:t>120.8</w:t>
            </w:r>
          </w:p>
        </w:tc>
      </w:tr>
      <w:tr w:rsidR="00A60934" w:rsidRPr="00A60934" w14:paraId="120A7BB4" w14:textId="77777777" w:rsidTr="007F564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6B11C311" w14:textId="0226E78A" w:rsidR="00A60934" w:rsidRPr="00A60934" w:rsidRDefault="00501ACF" w:rsidP="00501ACF">
            <w:pPr>
              <w:spacing w:after="0"/>
              <w:jc w:val="center"/>
            </w:pPr>
            <w:r>
              <w:t>8</w:t>
            </w:r>
          </w:p>
        </w:tc>
        <w:tc>
          <w:tcPr>
            <w:tcW w:w="2338" w:type="dxa"/>
          </w:tcPr>
          <w:p w14:paraId="2375487B" w14:textId="2910426A" w:rsidR="00A60934" w:rsidRPr="00A60934" w:rsidRDefault="00EA4BFE" w:rsidP="00501ACF">
            <w:pPr>
              <w:spacing w:after="0"/>
              <w:jc w:val="center"/>
              <w:cnfStyle w:val="000000010000" w:firstRow="0" w:lastRow="0" w:firstColumn="0" w:lastColumn="0" w:oddVBand="0" w:evenVBand="0" w:oddHBand="0" w:evenHBand="1" w:firstRowFirstColumn="0" w:firstRowLastColumn="0" w:lastRowFirstColumn="0" w:lastRowLastColumn="0"/>
            </w:pPr>
            <w:r>
              <w:t>5</w:t>
            </w:r>
          </w:p>
        </w:tc>
        <w:tc>
          <w:tcPr>
            <w:tcW w:w="2338" w:type="dxa"/>
          </w:tcPr>
          <w:p w14:paraId="656A6056" w14:textId="478E1EFC" w:rsidR="00A60934" w:rsidRPr="00A60934" w:rsidRDefault="00EA4BFE" w:rsidP="00501ACF">
            <w:pPr>
              <w:spacing w:after="0"/>
              <w:jc w:val="center"/>
              <w:cnfStyle w:val="000000010000" w:firstRow="0" w:lastRow="0" w:firstColumn="0" w:lastColumn="0" w:oddVBand="0" w:evenVBand="0" w:oddHBand="0" w:evenHBand="1" w:firstRowFirstColumn="0" w:firstRowLastColumn="0" w:lastRowFirstColumn="0" w:lastRowLastColumn="0"/>
            </w:pPr>
            <w:r>
              <w:t>0.</w:t>
            </w:r>
            <w:r w:rsidR="00725DE6">
              <w:t>20</w:t>
            </w:r>
          </w:p>
        </w:tc>
        <w:tc>
          <w:tcPr>
            <w:tcW w:w="2339" w:type="dxa"/>
          </w:tcPr>
          <w:p w14:paraId="3CFEB249" w14:textId="16E32C0D" w:rsidR="00A60934" w:rsidRPr="00A60934" w:rsidRDefault="00EA4BFE" w:rsidP="00501ACF">
            <w:pPr>
              <w:spacing w:after="0"/>
              <w:jc w:val="center"/>
              <w:cnfStyle w:val="000000010000" w:firstRow="0" w:lastRow="0" w:firstColumn="0" w:lastColumn="0" w:oddVBand="0" w:evenVBand="0" w:oddHBand="0" w:evenHBand="1" w:firstRowFirstColumn="0" w:firstRowLastColumn="0" w:lastRowFirstColumn="0" w:lastRowLastColumn="0"/>
            </w:pPr>
            <w:r>
              <w:t>5.7</w:t>
            </w:r>
            <w:r w:rsidR="00725DE6">
              <w:t>1</w:t>
            </w:r>
          </w:p>
        </w:tc>
      </w:tr>
      <w:tr w:rsidR="00A60934" w:rsidRPr="00A60934" w14:paraId="2D680C30" w14:textId="77777777" w:rsidTr="007F5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682ADB01" w14:textId="298D571A" w:rsidR="00A60934" w:rsidRPr="00A60934" w:rsidRDefault="00501ACF" w:rsidP="00501ACF">
            <w:pPr>
              <w:spacing w:after="0"/>
              <w:jc w:val="center"/>
            </w:pPr>
            <w:r>
              <w:t>9</w:t>
            </w:r>
          </w:p>
        </w:tc>
        <w:tc>
          <w:tcPr>
            <w:tcW w:w="2338" w:type="dxa"/>
          </w:tcPr>
          <w:p w14:paraId="4F20B45E" w14:textId="6FD0B239" w:rsidR="00A60934" w:rsidRPr="00A60934" w:rsidRDefault="00EA4BFE" w:rsidP="00501ACF">
            <w:pPr>
              <w:spacing w:after="0"/>
              <w:jc w:val="center"/>
              <w:cnfStyle w:val="000000100000" w:firstRow="0" w:lastRow="0" w:firstColumn="0" w:lastColumn="0" w:oddVBand="0" w:evenVBand="0" w:oddHBand="1" w:evenHBand="0" w:firstRowFirstColumn="0" w:firstRowLastColumn="0" w:lastRowFirstColumn="0" w:lastRowLastColumn="0"/>
            </w:pPr>
            <w:r>
              <w:t>5</w:t>
            </w:r>
          </w:p>
        </w:tc>
        <w:tc>
          <w:tcPr>
            <w:tcW w:w="2338" w:type="dxa"/>
          </w:tcPr>
          <w:p w14:paraId="34B44F6B" w14:textId="1981D290" w:rsidR="00A60934" w:rsidRPr="00A60934" w:rsidRDefault="006406FB" w:rsidP="00501ACF">
            <w:pPr>
              <w:spacing w:after="0"/>
              <w:jc w:val="center"/>
              <w:cnfStyle w:val="000000100000" w:firstRow="0" w:lastRow="0" w:firstColumn="0" w:lastColumn="0" w:oddVBand="0" w:evenVBand="0" w:oddHBand="1" w:evenHBand="0" w:firstRowFirstColumn="0" w:firstRowLastColumn="0" w:lastRowFirstColumn="0" w:lastRowLastColumn="0"/>
            </w:pPr>
            <w:r>
              <w:t>2.88</w:t>
            </w:r>
          </w:p>
        </w:tc>
        <w:tc>
          <w:tcPr>
            <w:tcW w:w="2339" w:type="dxa"/>
          </w:tcPr>
          <w:p w14:paraId="04578A7A" w14:textId="02BCE0E6" w:rsidR="00A60934" w:rsidRPr="00A60934" w:rsidRDefault="006406FB" w:rsidP="00501ACF">
            <w:pPr>
              <w:spacing w:after="0"/>
              <w:jc w:val="center"/>
              <w:cnfStyle w:val="000000100000" w:firstRow="0" w:lastRow="0" w:firstColumn="0" w:lastColumn="0" w:oddVBand="0" w:evenVBand="0" w:oddHBand="1" w:evenHBand="0" w:firstRowFirstColumn="0" w:firstRowLastColumn="0" w:lastRowFirstColumn="0" w:lastRowLastColumn="0"/>
            </w:pPr>
            <w:r>
              <w:t>100.3</w:t>
            </w:r>
          </w:p>
        </w:tc>
      </w:tr>
      <w:tr w:rsidR="00A60934" w:rsidRPr="00A60934" w14:paraId="2A322159" w14:textId="77777777" w:rsidTr="007F564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5" w:type="dxa"/>
          </w:tcPr>
          <w:p w14:paraId="7369EFD9" w14:textId="4A3ADF0E" w:rsidR="00A60934" w:rsidRPr="00A60934" w:rsidRDefault="00501ACF" w:rsidP="00501ACF">
            <w:pPr>
              <w:spacing w:after="0"/>
              <w:jc w:val="center"/>
            </w:pPr>
            <w:r>
              <w:t>10</w:t>
            </w:r>
          </w:p>
        </w:tc>
        <w:tc>
          <w:tcPr>
            <w:tcW w:w="2338" w:type="dxa"/>
          </w:tcPr>
          <w:p w14:paraId="42234CDF" w14:textId="492CF1D5" w:rsidR="00A60934" w:rsidRPr="00A60934" w:rsidRDefault="0037569C" w:rsidP="00501ACF">
            <w:pPr>
              <w:spacing w:after="0"/>
              <w:jc w:val="center"/>
              <w:cnfStyle w:val="000000010000" w:firstRow="0" w:lastRow="0" w:firstColumn="0" w:lastColumn="0" w:oddVBand="0" w:evenVBand="0" w:oddHBand="0" w:evenHBand="1" w:firstRowFirstColumn="0" w:firstRowLastColumn="0" w:lastRowFirstColumn="0" w:lastRowLastColumn="0"/>
            </w:pPr>
            <w:r>
              <w:t>323</w:t>
            </w:r>
          </w:p>
        </w:tc>
        <w:tc>
          <w:tcPr>
            <w:tcW w:w="2338" w:type="dxa"/>
          </w:tcPr>
          <w:p w14:paraId="5F48D65C" w14:textId="466D731A" w:rsidR="00A60934" w:rsidRPr="00A60934" w:rsidRDefault="00992CF9" w:rsidP="00501ACF">
            <w:pPr>
              <w:spacing w:after="0"/>
              <w:jc w:val="center"/>
              <w:cnfStyle w:val="000000010000" w:firstRow="0" w:lastRow="0" w:firstColumn="0" w:lastColumn="0" w:oddVBand="0" w:evenVBand="0" w:oddHBand="0" w:evenHBand="1" w:firstRowFirstColumn="0" w:firstRowLastColumn="0" w:lastRowFirstColumn="0" w:lastRowLastColumn="0"/>
            </w:pPr>
            <w:r>
              <w:t>1.99</w:t>
            </w:r>
          </w:p>
        </w:tc>
        <w:tc>
          <w:tcPr>
            <w:tcW w:w="2339" w:type="dxa"/>
          </w:tcPr>
          <w:p w14:paraId="08546EFA" w14:textId="06AA3661" w:rsidR="00A60934" w:rsidRPr="00A60934" w:rsidRDefault="00992CF9" w:rsidP="00501ACF">
            <w:pPr>
              <w:spacing w:after="0"/>
              <w:jc w:val="center"/>
              <w:cnfStyle w:val="000000010000" w:firstRow="0" w:lastRow="0" w:firstColumn="0" w:lastColumn="0" w:oddVBand="0" w:evenVBand="0" w:oddHBand="0" w:evenHBand="1" w:firstRowFirstColumn="0" w:firstRowLastColumn="0" w:lastRowFirstColumn="0" w:lastRowLastColumn="0"/>
            </w:pPr>
            <w:r>
              <w:t>122.5</w:t>
            </w:r>
          </w:p>
        </w:tc>
      </w:tr>
    </w:tbl>
    <w:p w14:paraId="2053F0B2" w14:textId="77777777" w:rsidR="006406FB" w:rsidRDefault="006406FB" w:rsidP="00180897"/>
    <w:p w14:paraId="4EE9A43B" w14:textId="0009428D" w:rsidR="006D4920" w:rsidRDefault="007133C7" w:rsidP="00180897">
      <w:r>
        <w:t>T</w:t>
      </w:r>
      <w:r w:rsidR="00BB6D99">
        <w:t xml:space="preserve">he </w:t>
      </w:r>
      <w:r w:rsidR="0036636A">
        <w:t>c</w:t>
      </w:r>
      <w:r w:rsidR="00BB6D99">
        <w:t>luster with the highe</w:t>
      </w:r>
      <w:r w:rsidR="00EC4859">
        <w:t>st frequency (i.e</w:t>
      </w:r>
      <w:r w:rsidR="002E7F08">
        <w:t>.</w:t>
      </w:r>
      <w:r w:rsidR="00EC4859">
        <w:t xml:space="preserve">, </w:t>
      </w:r>
      <w:r w:rsidR="002E7F08">
        <w:t>the greatest</w:t>
      </w:r>
      <w:r w:rsidR="00EC4859">
        <w:t xml:space="preserve"> number of PNodes)</w:t>
      </w:r>
      <w:r w:rsidR="00E67BBF">
        <w:t xml:space="preserve">, </w:t>
      </w:r>
      <w:r w:rsidR="008F6F0E">
        <w:t xml:space="preserve">with </w:t>
      </w:r>
      <w:r w:rsidR="00160F63">
        <w:t xml:space="preserve">a comparative maximum Euclidian distance, </w:t>
      </w:r>
      <w:r w:rsidR="0036636A">
        <w:t>whose</w:t>
      </w:r>
      <w:r w:rsidR="00160F63">
        <w:t xml:space="preserve"> </w:t>
      </w:r>
      <w:r w:rsidR="00AF1B60">
        <w:t>RMSD</w:t>
      </w:r>
      <w:r w:rsidR="00D222D5">
        <w:t xml:space="preserve"> </w:t>
      </w:r>
      <w:r w:rsidR="0036636A">
        <w:t xml:space="preserve">indicated </w:t>
      </w:r>
      <w:r w:rsidR="00482D36">
        <w:t>the LMPs recorded at the various PNodes contained within</w:t>
      </w:r>
      <w:r w:rsidR="007A7BA1">
        <w:t xml:space="preserve"> the cluster</w:t>
      </w:r>
      <w:r w:rsidR="00482D36">
        <w:t xml:space="preserve"> </w:t>
      </w:r>
      <w:r w:rsidR="00C47F50">
        <w:t xml:space="preserve">were </w:t>
      </w:r>
      <w:r w:rsidR="00482D36" w:rsidRPr="00482D36">
        <w:t xml:space="preserve">tightly </w:t>
      </w:r>
      <w:r w:rsidR="00D444E0">
        <w:t>clustered around th</w:t>
      </w:r>
      <w:r w:rsidR="00511DE7">
        <w:t xml:space="preserve">at of the </w:t>
      </w:r>
      <w:r w:rsidR="00D444E0">
        <w:t>average</w:t>
      </w:r>
      <w:r w:rsidR="004770A7">
        <w:t xml:space="preserve"> </w:t>
      </w:r>
      <w:r w:rsidR="00C47F50">
        <w:t>PNode</w:t>
      </w:r>
      <w:r w:rsidR="00482D36" w:rsidRPr="00482D36">
        <w:t xml:space="preserve"> </w:t>
      </w:r>
      <w:r w:rsidR="002F2297">
        <w:t>– Cluster 10 – was</w:t>
      </w:r>
      <w:r w:rsidR="002C3D79">
        <w:t xml:space="preserve"> selecte</w:t>
      </w:r>
      <w:r w:rsidR="00397254">
        <w:t>d</w:t>
      </w:r>
      <w:r w:rsidR="00F76703">
        <w:t xml:space="preserve">. </w:t>
      </w:r>
      <w:r w:rsidR="00B81D95">
        <w:t xml:space="preserve">Further refinement of </w:t>
      </w:r>
      <w:r w:rsidR="00D674EF">
        <w:t xml:space="preserve">Cluster 10 </w:t>
      </w:r>
      <w:r w:rsidR="009446EB">
        <w:t xml:space="preserve">to remove potential outliers </w:t>
      </w:r>
      <w:r w:rsidR="007768F1" w:rsidRPr="007768F1">
        <w:t xml:space="preserve">by tightening the maximum distance </w:t>
      </w:r>
      <w:r w:rsidR="007768F1">
        <w:t xml:space="preserve">allowed </w:t>
      </w:r>
      <w:r w:rsidR="0028017E">
        <w:t xml:space="preserve">resulted in </w:t>
      </w:r>
      <w:r w:rsidR="007768F1">
        <w:t xml:space="preserve">a </w:t>
      </w:r>
      <w:r w:rsidR="001928FF" w:rsidRPr="001928FF">
        <w:t>reported frequency</w:t>
      </w:r>
      <w:r w:rsidR="00511DE7">
        <w:t xml:space="preserve"> </w:t>
      </w:r>
      <w:r w:rsidR="007768F1">
        <w:t xml:space="preserve">of </w:t>
      </w:r>
      <w:r w:rsidR="00511DE7">
        <w:t>280 PNode</w:t>
      </w:r>
      <w:r w:rsidR="007768F1">
        <w:t>s</w:t>
      </w:r>
      <w:r w:rsidR="009D1327">
        <w:t xml:space="preserve"> compared to 323 PNodes; an improved </w:t>
      </w:r>
      <w:r w:rsidR="001928FF" w:rsidRPr="001928FF">
        <w:t xml:space="preserve">maximum Euclidian distance </w:t>
      </w:r>
      <w:r w:rsidR="007768F1">
        <w:t>of</w:t>
      </w:r>
      <w:r w:rsidR="00511DE7">
        <w:t xml:space="preserve"> </w:t>
      </w:r>
      <w:r w:rsidR="00287B6F">
        <w:t>74.18</w:t>
      </w:r>
      <w:r w:rsidR="009D1327">
        <w:t xml:space="preserve"> compared to 122.5</w:t>
      </w:r>
      <w:r w:rsidR="006D4920">
        <w:t xml:space="preserve">; and a smaller </w:t>
      </w:r>
      <w:r w:rsidR="001928FF" w:rsidRPr="001928FF">
        <w:t>root mean standard deviation</w:t>
      </w:r>
      <w:r w:rsidR="00511DE7">
        <w:t xml:space="preserve"> </w:t>
      </w:r>
      <w:r w:rsidR="006D4920">
        <w:t xml:space="preserve">of </w:t>
      </w:r>
      <w:r w:rsidR="00287B6F">
        <w:t>1.52</w:t>
      </w:r>
      <w:r w:rsidR="00511DE7">
        <w:t xml:space="preserve"> </w:t>
      </w:r>
      <w:r w:rsidR="006D4920">
        <w:t xml:space="preserve">compared to 1.99. </w:t>
      </w:r>
    </w:p>
    <w:p w14:paraId="49E36018" w14:textId="5902EDC8" w:rsidR="007A4EA9" w:rsidRDefault="00664C07" w:rsidP="00180897">
      <w:r w:rsidRPr="00664C07">
        <w:t xml:space="preserve">While there are no defined or absolute thresholds in determining whether </w:t>
      </w:r>
      <w:r>
        <w:t>a new Trading</w:t>
      </w:r>
      <w:r w:rsidRPr="00664C07">
        <w:t xml:space="preserve"> hub </w:t>
      </w:r>
      <w:r>
        <w:t>should be established</w:t>
      </w:r>
      <w:r w:rsidRPr="00664C07">
        <w:t xml:space="preserve"> </w:t>
      </w:r>
      <w:r w:rsidR="00426BA5">
        <w:t xml:space="preserve">SPP </w:t>
      </w:r>
      <w:r w:rsidR="00BD164E">
        <w:t xml:space="preserve">Markets staff </w:t>
      </w:r>
      <w:r w:rsidR="00511DE7">
        <w:t xml:space="preserve">discerned </w:t>
      </w:r>
      <w:r w:rsidR="005103A5">
        <w:t xml:space="preserve">the </w:t>
      </w:r>
      <w:r w:rsidR="00BD164E">
        <w:t>refined Cluster 10 satisfie</w:t>
      </w:r>
      <w:r w:rsidR="004D2792">
        <w:t>d</w:t>
      </w:r>
      <w:r w:rsidR="00BD164E">
        <w:t xml:space="preserve"> the </w:t>
      </w:r>
      <w:r w:rsidR="00511DE7">
        <w:t xml:space="preserve">conditions </w:t>
      </w:r>
      <w:r w:rsidR="00511DE7" w:rsidRPr="00511DE7">
        <w:t xml:space="preserve">set forth in Section 3.1.1 </w:t>
      </w:r>
      <w:r w:rsidR="008C1C38">
        <w:t xml:space="preserve">of </w:t>
      </w:r>
      <w:r w:rsidR="00511DE7" w:rsidRPr="00511DE7">
        <w:t xml:space="preserve">Attachment AE of </w:t>
      </w:r>
      <w:r w:rsidR="008C1C38">
        <w:t xml:space="preserve">the </w:t>
      </w:r>
      <w:r w:rsidR="00511DE7" w:rsidRPr="00511DE7">
        <w:t>Tariff</w:t>
      </w:r>
      <w:r w:rsidR="008C1C38">
        <w:t xml:space="preserve"> and </w:t>
      </w:r>
      <w:r w:rsidR="00601EAB">
        <w:t>therefore recommend</w:t>
      </w:r>
      <w:r w:rsidR="004D2792">
        <w:t>ed</w:t>
      </w:r>
      <w:r w:rsidR="00B21950">
        <w:t xml:space="preserve"> Cluster 10’s</w:t>
      </w:r>
      <w:r w:rsidR="000B30E8">
        <w:t xml:space="preserve"> PNodes</w:t>
      </w:r>
      <w:r w:rsidR="005103A5">
        <w:t xml:space="preserve"> be used to</w:t>
      </w:r>
      <w:r w:rsidR="003462B6">
        <w:t xml:space="preserve"> establish</w:t>
      </w:r>
      <w:r w:rsidR="00601EAB">
        <w:t xml:space="preserve"> </w:t>
      </w:r>
      <w:r w:rsidR="008C1C38">
        <w:t>the 2025 Initial Western Trading Hu</w:t>
      </w:r>
      <w:r w:rsidR="003462B6">
        <w:t>b</w:t>
      </w:r>
      <w:r w:rsidR="007A4EA9">
        <w:t xml:space="preserve"> – </w:t>
      </w:r>
      <w:r w:rsidR="00C30743">
        <w:t>SWPW_HUB</w:t>
      </w:r>
      <w:r w:rsidR="00511DE7">
        <w:t>.</w:t>
      </w:r>
      <w:r w:rsidR="00BD164E">
        <w:t xml:space="preserve"> </w:t>
      </w:r>
    </w:p>
    <w:p w14:paraId="01C8B1E2" w14:textId="7BAA8A9C" w:rsidR="001469EB" w:rsidRDefault="00BD164E" w:rsidP="00180897">
      <w:r>
        <w:lastRenderedPageBreak/>
        <w:t>Specifically,</w:t>
      </w:r>
      <w:r w:rsidR="002E5AEE">
        <w:t xml:space="preserve"> the</w:t>
      </w:r>
      <w:r w:rsidR="00D14D96">
        <w:t xml:space="preserve"> </w:t>
      </w:r>
      <w:r w:rsidR="002E5AEE">
        <w:t>280 PNodes</w:t>
      </w:r>
      <w:r w:rsidR="00B21950">
        <w:t xml:space="preserve"> </w:t>
      </w:r>
      <w:r w:rsidR="00B21950" w:rsidRPr="00B21950">
        <w:t>are representative and offer several pathways to mitigate the effects of potential topological issues</w:t>
      </w:r>
      <w:r w:rsidR="009E0EF6">
        <w:t xml:space="preserve">, suggesting an LMP can </w:t>
      </w:r>
      <w:r w:rsidR="00B4070C">
        <w:t xml:space="preserve">always be calculated </w:t>
      </w:r>
      <w:r w:rsidR="002E5AEE">
        <w:t xml:space="preserve">even </w:t>
      </w:r>
      <w:r w:rsidR="000927F1">
        <w:t>if</w:t>
      </w:r>
      <w:r w:rsidR="00844A3E">
        <w:t xml:space="preserve"> </w:t>
      </w:r>
      <w:r w:rsidR="002E5AEE">
        <w:t>one</w:t>
      </w:r>
      <w:r w:rsidR="00844A3E">
        <w:t xml:space="preserve"> PNode</w:t>
      </w:r>
      <w:r w:rsidR="002E5AEE">
        <w:t xml:space="preserve"> becomes unavailable or is adjacent to a line outage</w:t>
      </w:r>
      <w:r w:rsidR="009E0EF6">
        <w:t xml:space="preserve">. Together, the PNodes have a </w:t>
      </w:r>
      <w:r w:rsidR="002E5AEE" w:rsidRPr="00974460">
        <w:t xml:space="preserve">high rate of service </w:t>
      </w:r>
      <w:r w:rsidR="001469EB" w:rsidRPr="00974460">
        <w:t>availability,</w:t>
      </w:r>
      <w:r w:rsidR="002E5AEE">
        <w:t xml:space="preserve"> among which Transmission Service is relatively unconstrained and do not </w:t>
      </w:r>
      <w:r w:rsidR="001469EB">
        <w:t xml:space="preserve">presently </w:t>
      </w:r>
      <w:r w:rsidR="002E5AEE">
        <w:t xml:space="preserve">encompass the combined loads </w:t>
      </w:r>
      <w:r w:rsidR="00017BD2">
        <w:t>and</w:t>
      </w:r>
      <w:r w:rsidR="00844A3E">
        <w:t xml:space="preserve"> </w:t>
      </w:r>
      <w:r w:rsidR="002E5AEE">
        <w:t>Resources of any single vertically integrated utility.</w:t>
      </w:r>
      <w:r w:rsidR="009E0EF6">
        <w:t xml:space="preserve"> </w:t>
      </w:r>
      <w:r w:rsidR="00E45F8B">
        <w:t>T</w:t>
      </w:r>
      <w:r w:rsidR="00107449">
        <w:t xml:space="preserve">he </w:t>
      </w:r>
      <w:r w:rsidR="00036DA6">
        <w:t xml:space="preserve">standard deviation reported </w:t>
      </w:r>
      <w:r w:rsidR="00E45F8B">
        <w:t xml:space="preserve">is well below that of the </w:t>
      </w:r>
      <w:r w:rsidR="00B4110B">
        <w:t xml:space="preserve">existing </w:t>
      </w:r>
      <w:r w:rsidR="00E45F8B">
        <w:t xml:space="preserve">North Hub </w:t>
      </w:r>
      <w:r w:rsidR="00B4110B">
        <w:t xml:space="preserve">and </w:t>
      </w:r>
      <w:r w:rsidR="00E45F8B">
        <w:t>South Hub</w:t>
      </w:r>
      <w:r w:rsidR="00424EA0">
        <w:t>.</w:t>
      </w:r>
      <w:r w:rsidR="00BF4A61">
        <w:t xml:space="preserve"> The Euclidian distance suggests </w:t>
      </w:r>
      <w:r w:rsidR="00991A97">
        <w:t>the LMPs are close to the average and thus prices are not very volatile.</w:t>
      </w:r>
    </w:p>
    <w:p w14:paraId="28F588E5" w14:textId="4E5F9E18" w:rsidR="00991A97" w:rsidRDefault="00747517" w:rsidP="00180897">
      <w:r>
        <w:fldChar w:fldCharType="begin"/>
      </w:r>
      <w:r>
        <w:instrText xml:space="preserve"> REF _Ref215668222 \h </w:instrText>
      </w:r>
      <w:r>
        <w:fldChar w:fldCharType="separate"/>
      </w:r>
      <w:r>
        <w:t xml:space="preserve">Figure </w:t>
      </w:r>
      <w:r>
        <w:rPr>
          <w:noProof/>
        </w:rPr>
        <w:t>3</w:t>
      </w:r>
      <w:r>
        <w:fldChar w:fldCharType="end"/>
      </w:r>
      <w:r w:rsidR="002C16B8">
        <w:t xml:space="preserve"> presents </w:t>
      </w:r>
      <w:r w:rsidR="00BF6DE7">
        <w:t xml:space="preserve">all </w:t>
      </w:r>
      <w:r w:rsidR="002C16B8">
        <w:t xml:space="preserve">western </w:t>
      </w:r>
      <w:r w:rsidR="002C16B8" w:rsidRPr="002C16B8">
        <w:t>PNodes</w:t>
      </w:r>
      <w:r w:rsidR="00005A9A">
        <w:t xml:space="preserve"> SPP performed the FASTCLUS procedure on</w:t>
      </w:r>
      <w:r w:rsidR="00BF6DE7">
        <w:t xml:space="preserve">, differentiated by </w:t>
      </w:r>
      <w:r w:rsidR="002C16B8" w:rsidRPr="002C16B8">
        <w:t xml:space="preserve">constituting the </w:t>
      </w:r>
      <w:r w:rsidR="00844A3E">
        <w:t xml:space="preserve">proposed </w:t>
      </w:r>
      <w:r w:rsidR="00C30743">
        <w:t>SWPW_HUB</w:t>
      </w:r>
      <w:r w:rsidR="00844A3E">
        <w:t xml:space="preserve"> </w:t>
      </w:r>
      <w:r w:rsidR="00005A9A">
        <w:t xml:space="preserve">(blue dots) </w:t>
      </w:r>
      <w:r w:rsidR="00017BD2">
        <w:t xml:space="preserve">(i.e., Cluster 10) </w:t>
      </w:r>
      <w:r w:rsidR="00005A9A">
        <w:t xml:space="preserve">and not </w:t>
      </w:r>
      <w:r w:rsidR="00324087">
        <w:t>constituting</w:t>
      </w:r>
      <w:r w:rsidR="00A44C1F">
        <w:t xml:space="preserve"> </w:t>
      </w:r>
      <w:r w:rsidR="00005A9A">
        <w:t xml:space="preserve">the </w:t>
      </w:r>
      <w:r w:rsidR="00C30743">
        <w:t>SWPW_HUB</w:t>
      </w:r>
      <w:r w:rsidR="00017BD2">
        <w:t xml:space="preserve"> </w:t>
      </w:r>
      <w:r w:rsidR="00005A9A">
        <w:t>(red dots)</w:t>
      </w:r>
      <w:r w:rsidR="002C16B8" w:rsidRPr="002C16B8">
        <w:t>.</w:t>
      </w:r>
    </w:p>
    <w:p w14:paraId="7F14CEAF" w14:textId="4A58BD7B" w:rsidR="00C76FBF" w:rsidRDefault="00C76FBF" w:rsidP="00B97D03">
      <w:pPr>
        <w:pStyle w:val="Caption"/>
        <w:jc w:val="center"/>
      </w:pPr>
      <w:bookmarkStart w:id="12" w:name="_Ref215668222"/>
      <w:r>
        <w:t xml:space="preserve">Figure </w:t>
      </w:r>
      <w:fldSimple w:instr=" SEQ Figure \* ARABIC ">
        <w:r>
          <w:rPr>
            <w:noProof/>
          </w:rPr>
          <w:t>3</w:t>
        </w:r>
      </w:fldSimple>
      <w:bookmarkEnd w:id="12"/>
      <w:r>
        <w:t>.</w:t>
      </w:r>
      <w:r w:rsidR="00C30743">
        <w:t xml:space="preserve"> All Western PNodes and </w:t>
      </w:r>
      <w:r w:rsidR="00B97A2F">
        <w:t>those constituting the</w:t>
      </w:r>
      <w:r>
        <w:t xml:space="preserve"> </w:t>
      </w:r>
      <w:r w:rsidR="00C30743">
        <w:t>SWPW_HUB</w:t>
      </w:r>
    </w:p>
    <w:p w14:paraId="35899B9D" w14:textId="4A851BB8" w:rsidR="009514D7" w:rsidRDefault="00000000" w:rsidP="00B97D03">
      <w:pPr>
        <w:jc w:val="center"/>
      </w:pPr>
      <w:sdt>
        <w:sdtPr>
          <w:id w:val="871730320"/>
          <w:docPartObj>
            <w:docPartGallery w:val="Bibliographies"/>
            <w:docPartUnique/>
          </w:docPartObj>
        </w:sdtPr>
        <w:sdtContent>
          <w:sdt>
            <w:sdtPr>
              <w:id w:val="-573587230"/>
              <w:showingPlcHdr/>
              <w:bibliography/>
            </w:sdtPr>
            <w:sdtContent>
              <w:r w:rsidR="00B97D03">
                <w:t xml:space="preserve">     </w:t>
              </w:r>
            </w:sdtContent>
          </w:sdt>
        </w:sdtContent>
      </w:sdt>
      <w:r w:rsidR="00040A27" w:rsidRPr="00040A27">
        <w:t xml:space="preserve"> </w:t>
      </w:r>
      <w:r w:rsidR="00040A27">
        <w:t> </w:t>
      </w:r>
      <w:r w:rsidR="00C76FBF" w:rsidRPr="00C76FBF">
        <w:rPr>
          <w:noProof/>
        </w:rPr>
        <w:drawing>
          <wp:inline distT="0" distB="0" distL="0" distR="0" wp14:anchorId="2D216600" wp14:editId="6E29D814">
            <wp:extent cx="5746366" cy="4403705"/>
            <wp:effectExtent l="0" t="0" r="6985" b="0"/>
            <wp:docPr id="23629818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98185" name="Picture 1" descr="Map&#10;&#10;AI-generated content may be incorrect."/>
                    <pic:cNvPicPr/>
                  </pic:nvPicPr>
                  <pic:blipFill>
                    <a:blip r:embed="rId17"/>
                    <a:stretch>
                      <a:fillRect/>
                    </a:stretch>
                  </pic:blipFill>
                  <pic:spPr>
                    <a:xfrm>
                      <a:off x="0" y="0"/>
                      <a:ext cx="5778271" cy="4428155"/>
                    </a:xfrm>
                    <a:prstGeom prst="rect">
                      <a:avLst/>
                    </a:prstGeom>
                  </pic:spPr>
                </pic:pic>
              </a:graphicData>
            </a:graphic>
          </wp:inline>
        </w:drawing>
      </w:r>
    </w:p>
    <w:p w14:paraId="7194AFE6" w14:textId="64C08C1C" w:rsidR="008C1876" w:rsidRDefault="00D6031C" w:rsidP="004770A7">
      <w:r>
        <w:t xml:space="preserve">SPP </w:t>
      </w:r>
      <w:r w:rsidR="003657DA">
        <w:t>does</w:t>
      </w:r>
      <w:r w:rsidR="00017BD2">
        <w:t>,</w:t>
      </w:r>
      <w:r w:rsidR="003657DA">
        <w:t xml:space="preserve"> however</w:t>
      </w:r>
      <w:r w:rsidR="00017BD2">
        <w:t>,</w:t>
      </w:r>
      <w:r w:rsidR="003657DA">
        <w:t xml:space="preserve"> suggest additional, continuous </w:t>
      </w:r>
      <w:r w:rsidR="00287B6F" w:rsidRPr="00287B6F">
        <w:t xml:space="preserve">analysis be </w:t>
      </w:r>
      <w:r w:rsidR="005E216F">
        <w:t xml:space="preserve">performed </w:t>
      </w:r>
      <w:r w:rsidR="00287B6F" w:rsidRPr="00287B6F">
        <w:t xml:space="preserve">to ensure </w:t>
      </w:r>
      <w:r w:rsidR="00005A9A">
        <w:t>at no point</w:t>
      </w:r>
      <w:r w:rsidR="008C1876">
        <w:t xml:space="preserve"> the PNodes forming</w:t>
      </w:r>
      <w:r w:rsidR="00005A9A">
        <w:t xml:space="preserve"> the </w:t>
      </w:r>
      <w:r w:rsidR="00C30743">
        <w:t>SWPW_HUB</w:t>
      </w:r>
      <w:r w:rsidR="00017BD2" w:rsidRPr="00017BD2">
        <w:t xml:space="preserve"> </w:t>
      </w:r>
      <w:r w:rsidR="005E216F">
        <w:t xml:space="preserve">only </w:t>
      </w:r>
      <w:r w:rsidR="00005A9A" w:rsidRPr="00005A9A">
        <w:t>represent</w:t>
      </w:r>
      <w:r w:rsidR="005A5675">
        <w:t xml:space="preserve"> </w:t>
      </w:r>
      <w:r w:rsidR="00005A9A" w:rsidRPr="00005A9A">
        <w:t xml:space="preserve">the combined loads and Resources of a single vertically integrated utility </w:t>
      </w:r>
      <w:r w:rsidR="008C1876">
        <w:t xml:space="preserve">given the large number of WAWU and WACM PNodes </w:t>
      </w:r>
      <w:r w:rsidR="005A5675">
        <w:t xml:space="preserve">forming it </w:t>
      </w:r>
      <w:r w:rsidR="008C1876">
        <w:t>and the ev</w:t>
      </w:r>
      <w:r w:rsidR="0061432F">
        <w:t>olving nature of SPP’s Western Operations</w:t>
      </w:r>
      <w:r w:rsidR="00D15231">
        <w:t xml:space="preserve"> and Expansion</w:t>
      </w:r>
      <w:r w:rsidR="0061432F">
        <w:t xml:space="preserve">. </w:t>
      </w:r>
    </w:p>
    <w:p w14:paraId="46914173" w14:textId="2FF2738D" w:rsidR="00067004" w:rsidRDefault="00067004" w:rsidP="00067004">
      <w:pPr>
        <w:pStyle w:val="Heading1"/>
      </w:pPr>
      <w:r>
        <w:lastRenderedPageBreak/>
        <w:t xml:space="preserve">Governing </w:t>
      </w:r>
      <w:r w:rsidR="00F80D61">
        <w:t xml:space="preserve">Documents </w:t>
      </w:r>
      <w:r>
        <w:t>Language Review</w:t>
      </w:r>
    </w:p>
    <w:p w14:paraId="3A9BA3FD" w14:textId="788E28E2" w:rsidR="00067004" w:rsidRDefault="00067004" w:rsidP="004770A7">
      <w:r w:rsidRPr="00067004">
        <w:t xml:space="preserve">A detailed review of </w:t>
      </w:r>
      <w:r w:rsidR="009D7EB3" w:rsidRPr="009D7EB3">
        <w:t>Section 3.1.1 of Attachment AE</w:t>
      </w:r>
      <w:r w:rsidR="009D7EB3">
        <w:t xml:space="preserve"> of </w:t>
      </w:r>
      <w:r>
        <w:t xml:space="preserve">SPP’s </w:t>
      </w:r>
      <w:r w:rsidR="002E01D4">
        <w:t xml:space="preserve">Open Access Transmission Tariff </w:t>
      </w:r>
      <w:r w:rsidR="009D7EB3">
        <w:t xml:space="preserve">and </w:t>
      </w:r>
      <w:r w:rsidR="009D7EB3" w:rsidRPr="009D7EB3">
        <w:t xml:space="preserve">Section 4.5.2.3.1 </w:t>
      </w:r>
      <w:r w:rsidR="009D7EB3">
        <w:t xml:space="preserve">of SPP’s Integrated Marketplace Protocols </w:t>
      </w:r>
      <w:r w:rsidRPr="00067004">
        <w:t>suggest</w:t>
      </w:r>
      <w:r w:rsidR="001F000E">
        <w:t xml:space="preserve">, </w:t>
      </w:r>
      <w:r w:rsidRPr="00067004">
        <w:t>at present</w:t>
      </w:r>
      <w:r w:rsidR="00FB2C7B">
        <w:t>,</w:t>
      </w:r>
      <w:r w:rsidRPr="00067004">
        <w:t xml:space="preserve"> </w:t>
      </w:r>
      <w:r w:rsidR="00B6330C">
        <w:t xml:space="preserve">no </w:t>
      </w:r>
      <w:r w:rsidR="009D7EB3">
        <w:t xml:space="preserve">language </w:t>
      </w:r>
      <w:r w:rsidR="00F80D61">
        <w:t xml:space="preserve">changes </w:t>
      </w:r>
      <w:r w:rsidR="009D7EB3">
        <w:t xml:space="preserve">need to </w:t>
      </w:r>
      <w:r w:rsidRPr="00067004">
        <w:t>be made</w:t>
      </w:r>
      <w:r w:rsidR="009D7EB3">
        <w:t xml:space="preserve"> </w:t>
      </w:r>
      <w:r w:rsidR="00B6330C">
        <w:t xml:space="preserve">in these two governing documents </w:t>
      </w:r>
      <w:r w:rsidR="009D7EB3">
        <w:t xml:space="preserve">to support </w:t>
      </w:r>
      <w:r w:rsidR="00B6330C">
        <w:t>the Trading Hub needs of SPP’s</w:t>
      </w:r>
      <w:r w:rsidR="00FB2C7B">
        <w:t xml:space="preserve"> </w:t>
      </w:r>
      <w:r w:rsidR="009D7EB3">
        <w:t>Western members</w:t>
      </w:r>
      <w:r w:rsidRPr="00067004">
        <w:t xml:space="preserve">. The requirements for establishing a new Trading Hub </w:t>
      </w:r>
      <w:r w:rsidR="009D7EB3">
        <w:t>in the Tari</w:t>
      </w:r>
      <w:r w:rsidR="00A34022">
        <w:t xml:space="preserve">ff and the approval process outlined in the Integrated Marketplace Protocols </w:t>
      </w:r>
      <w:r w:rsidRPr="00067004">
        <w:t xml:space="preserve">provide a clear direction for </w:t>
      </w:r>
      <w:r w:rsidR="00A34022">
        <w:t>establishing</w:t>
      </w:r>
      <w:r w:rsidR="00FB2C7B">
        <w:t xml:space="preserve">, modifying or dissolving </w:t>
      </w:r>
      <w:r w:rsidR="00A34022">
        <w:t xml:space="preserve">a </w:t>
      </w:r>
      <w:r w:rsidRPr="00067004">
        <w:t xml:space="preserve">Trading Hub </w:t>
      </w:r>
      <w:r w:rsidR="00A34022">
        <w:t xml:space="preserve">in </w:t>
      </w:r>
      <w:r w:rsidR="00FB2C7B">
        <w:t xml:space="preserve">the </w:t>
      </w:r>
      <w:r w:rsidRPr="00067004">
        <w:t xml:space="preserve">Western </w:t>
      </w:r>
      <w:r w:rsidR="00A34022">
        <w:t xml:space="preserve">area of SPP’s </w:t>
      </w:r>
      <w:r w:rsidRPr="00067004">
        <w:t>footprint</w:t>
      </w:r>
      <w:r w:rsidR="00A34022">
        <w:t>. Additionally,</w:t>
      </w:r>
      <w:r w:rsidR="00FB2C7B">
        <w:t xml:space="preserve"> </w:t>
      </w:r>
      <w:r w:rsidR="00C410A9">
        <w:t xml:space="preserve">the requirements set forth </w:t>
      </w:r>
      <w:r w:rsidR="00D329DC">
        <w:t xml:space="preserve">infeasible given differences in the electric market operations in the Western Interconnect. </w:t>
      </w:r>
      <w:r w:rsidR="00FB2C7B">
        <w:t>As such, it is SPP’s recommendation</w:t>
      </w:r>
      <w:r w:rsidR="00C410A9">
        <w:t xml:space="preserve"> </w:t>
      </w:r>
      <w:r w:rsidR="00FB2C7B">
        <w:t xml:space="preserve">that no </w:t>
      </w:r>
      <w:r w:rsidR="00C410A9">
        <w:t xml:space="preserve">language changes be made </w:t>
      </w:r>
      <w:r w:rsidR="00D329DC">
        <w:t xml:space="preserve">to either governing document </w:t>
      </w:r>
      <w:r w:rsidR="00C410A9">
        <w:t>at this time.</w:t>
      </w:r>
    </w:p>
    <w:p w14:paraId="78300530" w14:textId="269C1CD5" w:rsidR="00772522" w:rsidRDefault="000613EB" w:rsidP="00772522">
      <w:pPr>
        <w:pStyle w:val="Heading1"/>
      </w:pPr>
      <w:bookmarkStart w:id="13" w:name="_Toc215741150"/>
      <w:r>
        <w:t xml:space="preserve">Conclusions &amp; </w:t>
      </w:r>
      <w:r w:rsidR="00772522">
        <w:t>Con</w:t>
      </w:r>
      <w:r>
        <w:t>siderations</w:t>
      </w:r>
      <w:bookmarkEnd w:id="13"/>
    </w:p>
    <w:p w14:paraId="5F8EE3C6" w14:textId="31061071" w:rsidR="00984A12" w:rsidRPr="00984A12" w:rsidRDefault="00384FE9" w:rsidP="00067004">
      <w:r>
        <w:t xml:space="preserve">It is SPP’s recommendation the 2025 Initial Western Trading Hub </w:t>
      </w:r>
      <w:r w:rsidR="00017BD2">
        <w:t xml:space="preserve">– </w:t>
      </w:r>
      <w:r w:rsidR="00C30743">
        <w:t>SWPW_HUB</w:t>
      </w:r>
      <w:r w:rsidR="00017BD2">
        <w:t xml:space="preserve"> – </w:t>
      </w:r>
      <w:r>
        <w:t xml:space="preserve">consisting of </w:t>
      </w:r>
      <w:r w:rsidR="00BC1A85">
        <w:t xml:space="preserve">280 </w:t>
      </w:r>
      <w:r>
        <w:t>PNodes be established</w:t>
      </w:r>
      <w:r w:rsidR="00EA2FEF">
        <w:t xml:space="preserve">. Establishment is recommended based on the proposed Trading Hub </w:t>
      </w:r>
      <w:r w:rsidR="00017BD2">
        <w:t xml:space="preserve">having </w:t>
      </w:r>
      <w:r>
        <w:t>me</w:t>
      </w:r>
      <w:r w:rsidR="00017BD2">
        <w:t xml:space="preserve">t </w:t>
      </w:r>
      <w:r>
        <w:t>all the requirements articulated in</w:t>
      </w:r>
      <w:r w:rsidR="00EA2FEF">
        <w:t xml:space="preserve"> Section 3.</w:t>
      </w:r>
      <w:r w:rsidR="00401800">
        <w:t>1</w:t>
      </w:r>
      <w:r w:rsidR="00EA2FEF">
        <w:t xml:space="preserve">.1 of </w:t>
      </w:r>
      <w:r w:rsidR="00A37FC8">
        <w:t>Attachment AE of</w:t>
      </w:r>
      <w:r>
        <w:t xml:space="preserve"> </w:t>
      </w:r>
      <w:r w:rsidR="00017BD2">
        <w:t xml:space="preserve">SPP’s Open Access Transmission </w:t>
      </w:r>
      <w:r w:rsidR="00A37FC8">
        <w:t>T</w:t>
      </w:r>
      <w:r>
        <w:t>ariff</w:t>
      </w:r>
      <w:r w:rsidR="00A37FC8">
        <w:t>, t</w:t>
      </w:r>
      <w:r>
        <w:t xml:space="preserve">he LMP behavior of the proposed </w:t>
      </w:r>
      <w:r w:rsidR="00017BD2">
        <w:t>T</w:t>
      </w:r>
      <w:r>
        <w:t xml:space="preserve">rading </w:t>
      </w:r>
      <w:r w:rsidR="00017BD2">
        <w:t>H</w:t>
      </w:r>
      <w:r>
        <w:t>ub</w:t>
      </w:r>
      <w:r w:rsidR="00A37FC8">
        <w:t xml:space="preserve"> being</w:t>
      </w:r>
      <w:r>
        <w:t xml:space="preserve"> comparable to the LMP behavior of existing</w:t>
      </w:r>
      <w:r w:rsidR="00A37FC8">
        <w:t xml:space="preserve"> SPP</w:t>
      </w:r>
      <w:r>
        <w:t xml:space="preserve"> </w:t>
      </w:r>
      <w:r w:rsidR="00017BD2">
        <w:t>T</w:t>
      </w:r>
      <w:r>
        <w:t xml:space="preserve">rading </w:t>
      </w:r>
      <w:r w:rsidR="00017BD2">
        <w:t>H</w:t>
      </w:r>
      <w:r>
        <w:t>ubs</w:t>
      </w:r>
      <w:r w:rsidR="00A37FC8">
        <w:t xml:space="preserve">, </w:t>
      </w:r>
      <w:r>
        <w:t>n</w:t>
      </w:r>
      <w:r w:rsidR="00A37FC8">
        <w:t xml:space="preserve">amely the North and South Hub, and the </w:t>
      </w:r>
      <w:r>
        <w:t xml:space="preserve">standard deviation and maximum variance of the proposed </w:t>
      </w:r>
      <w:r w:rsidR="00017BD2">
        <w:t>T</w:t>
      </w:r>
      <w:r>
        <w:t xml:space="preserve">rading </w:t>
      </w:r>
      <w:r w:rsidR="00017BD2">
        <w:t>H</w:t>
      </w:r>
      <w:r>
        <w:t xml:space="preserve">ub </w:t>
      </w:r>
      <w:r w:rsidR="00FB259F">
        <w:t xml:space="preserve">having been deemed </w:t>
      </w:r>
      <w:r>
        <w:t>optimal compared to all the incoming PNodes combined.</w:t>
      </w:r>
      <w:r w:rsidR="00CE5CC9">
        <w:t xml:space="preserve"> </w:t>
      </w:r>
      <w:r w:rsidR="00CE5CC9" w:rsidRPr="00CE5CC9">
        <w:t>LMP data used for th</w:t>
      </w:r>
      <w:r w:rsidR="00CE5CC9">
        <w:t>e</w:t>
      </w:r>
      <w:r w:rsidR="00CE5CC9" w:rsidRPr="00CE5CC9">
        <w:t xml:space="preserve"> analysis</w:t>
      </w:r>
      <w:r w:rsidR="00CE5CC9">
        <w:t xml:space="preserve">, however, </w:t>
      </w:r>
      <w:r w:rsidR="00CE5CC9" w:rsidRPr="00CE5CC9">
        <w:t xml:space="preserve">is best available as of 2025.​ </w:t>
      </w:r>
      <w:r w:rsidR="003F6FE3" w:rsidRPr="003F6FE3">
        <w:t>RTOE go-liv</w:t>
      </w:r>
      <w:r w:rsidR="003F6FE3">
        <w:t>e is scheduled for April 2026</w:t>
      </w:r>
      <w:r w:rsidR="00A37FC8">
        <w:t xml:space="preserve">, </w:t>
      </w:r>
      <w:r w:rsidR="00FB259F">
        <w:t>and as such, SPP recommends continuous evaluation of all trading hubs.</w:t>
      </w:r>
      <w:r w:rsidR="007171BC">
        <w:t xml:space="preserve"> A detailed review of </w:t>
      </w:r>
      <w:r w:rsidR="00237824">
        <w:t xml:space="preserve">current </w:t>
      </w:r>
      <w:r w:rsidR="007171BC">
        <w:t>governing document</w:t>
      </w:r>
      <w:r w:rsidR="00D329DC">
        <w:t>s</w:t>
      </w:r>
      <w:r w:rsidR="00237824">
        <w:t xml:space="preserve">, specifically the Tariff and </w:t>
      </w:r>
      <w:r w:rsidR="00B4070C">
        <w:t>Protocols,</w:t>
      </w:r>
      <w:r w:rsidR="00237824">
        <w:t xml:space="preserve"> suggest</w:t>
      </w:r>
      <w:r w:rsidR="00F134E9">
        <w:t xml:space="preserve"> at present no changes need to be made. </w:t>
      </w:r>
    </w:p>
    <w:sectPr w:rsidR="00984A12" w:rsidRPr="00984A12" w:rsidSect="00413D5D">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45A7" w14:textId="77777777" w:rsidR="00EA5D66" w:rsidRDefault="00EA5D66" w:rsidP="009A533B">
      <w:r>
        <w:separator/>
      </w:r>
    </w:p>
  </w:endnote>
  <w:endnote w:type="continuationSeparator" w:id="0">
    <w:p w14:paraId="3B82AC35" w14:textId="77777777" w:rsidR="00EA5D66" w:rsidRDefault="00EA5D66" w:rsidP="009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3527" w14:textId="1AC5D30A" w:rsidR="00413D5D" w:rsidRDefault="00413D5D" w:rsidP="004C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910B" w14:textId="5209304B" w:rsidR="00413D5D" w:rsidRPr="007F5645" w:rsidRDefault="00A739F9" w:rsidP="004C64D7">
    <w:pPr>
      <w:pStyle w:val="Footer"/>
      <w:rPr>
        <w:b/>
      </w:rPr>
    </w:pPr>
    <w:r w:rsidRPr="002C3AFA">
      <w:rPr>
        <w:bCs/>
      </w:rPr>
      <w:t xml:space="preserve">RTOE Trading Hub Analysis – </w:t>
    </w:r>
    <w:r w:rsidR="00C30743">
      <w:rPr>
        <w:bCs/>
      </w:rPr>
      <w:t>SWPW_HUB</w:t>
    </w:r>
    <w:r w:rsidRPr="00A739F9">
      <w:rPr>
        <w:b/>
      </w:rPr>
      <w:t xml:space="preserve"> </w:t>
    </w:r>
    <w:r w:rsidR="00413D5D" w:rsidRPr="00BE344A">
      <w:tab/>
    </w:r>
    <w:r w:rsidR="00413D5D" w:rsidRPr="00BE344A">
      <w:fldChar w:fldCharType="begin"/>
    </w:r>
    <w:r w:rsidR="00413D5D" w:rsidRPr="00BE344A">
      <w:instrText xml:space="preserve"> PAGE   \* MERGEFORMAT </w:instrText>
    </w:r>
    <w:r w:rsidR="00413D5D" w:rsidRPr="00BE344A">
      <w:fldChar w:fldCharType="separate"/>
    </w:r>
    <w:r w:rsidR="00102B11">
      <w:rPr>
        <w:noProof/>
      </w:rPr>
      <w:t>1</w:t>
    </w:r>
    <w:r w:rsidR="00413D5D" w:rsidRPr="00BE34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265A" w14:textId="77777777" w:rsidR="00EA5D66" w:rsidRDefault="00EA5D66" w:rsidP="009A533B">
      <w:r>
        <w:separator/>
      </w:r>
    </w:p>
  </w:footnote>
  <w:footnote w:type="continuationSeparator" w:id="0">
    <w:p w14:paraId="251F7BFC" w14:textId="77777777" w:rsidR="00EA5D66" w:rsidRDefault="00EA5D66" w:rsidP="009A533B">
      <w:r>
        <w:continuationSeparator/>
      </w:r>
    </w:p>
  </w:footnote>
  <w:footnote w:id="1">
    <w:p w14:paraId="67A236EA" w14:textId="099B2AAA" w:rsidR="00292820" w:rsidRDefault="00292820">
      <w:pPr>
        <w:pStyle w:val="FootnoteText"/>
      </w:pPr>
      <w:r>
        <w:rPr>
          <w:rStyle w:val="FootnoteReference"/>
        </w:rPr>
        <w:footnoteRef/>
      </w:r>
      <w:r>
        <w:t xml:space="preserve"> See </w:t>
      </w:r>
      <w:hyperlink r:id="rId1" w:history="1">
        <w:r w:rsidRPr="00292820">
          <w:rPr>
            <w:rStyle w:val="Hyperlink"/>
            <w:noProof w:val="0"/>
          </w:rPr>
          <w:t>RTO Expansion</w:t>
        </w:r>
      </w:hyperlink>
      <w:r>
        <w:t xml:space="preserve">. </w:t>
      </w:r>
    </w:p>
  </w:footnote>
  <w:footnote w:id="2">
    <w:p w14:paraId="577B614B" w14:textId="6D87902F" w:rsidR="00126A05" w:rsidRDefault="00126A05">
      <w:pPr>
        <w:pStyle w:val="FootnoteText"/>
      </w:pPr>
      <w:r>
        <w:rPr>
          <w:rStyle w:val="FootnoteReference"/>
        </w:rPr>
        <w:footnoteRef/>
      </w:r>
      <w:r>
        <w:t xml:space="preserve"> </w:t>
      </w:r>
      <w:r w:rsidR="002209A8" w:rsidRPr="002209A8">
        <w:t>SPP began administering WEIS on a contract basis in February of 2021. WEIS not only provides price transparency of wholesale energy but also allows parties to trade bilaterally and hedge against costly transmission congestion. At the time of this analysis, there were twelve participants in WEIS</w:t>
      </w:r>
      <w:r w:rsidR="00933C2B">
        <w:t xml:space="preserve">. </w:t>
      </w:r>
      <w:r w:rsidR="002C4D28">
        <w:t xml:space="preserve">WEIS participants included Basin Electric Power Cooperative; Black Hills Energy; City of Farmington NM Electric Utility; Colorado Springs Utilities; Deseret Power Electric Cooperative; Guzman Energy; Municipal Energy Agency of Nebraska; Platte River Power Authority; Tri-State Generation and Transmission Association; United Power, Inc.; Western Area Power Administration and Xcel Energy. </w:t>
      </w:r>
      <w:r>
        <w:t xml:space="preserve">See </w:t>
      </w:r>
      <w:hyperlink r:id="rId2" w:history="1">
        <w:r w:rsidRPr="00126A05">
          <w:rPr>
            <w:rStyle w:val="Hyperlink"/>
            <w:noProof w:val="0"/>
          </w:rPr>
          <w:t>Western Energy Imbalance Market (WEIS).</w:t>
        </w:r>
      </w:hyperlink>
      <w:r>
        <w:t xml:space="preserve"> </w:t>
      </w:r>
    </w:p>
  </w:footnote>
  <w:footnote w:id="3">
    <w:p w14:paraId="2420DDA9" w14:textId="55975FD0" w:rsidR="009514D7" w:rsidRDefault="009514D7">
      <w:pPr>
        <w:pStyle w:val="FootnoteText"/>
      </w:pPr>
      <w:r>
        <w:rPr>
          <w:rStyle w:val="FootnoteReference"/>
        </w:rPr>
        <w:footnoteRef/>
      </w:r>
      <w:r>
        <w:t xml:space="preserve"> </w:t>
      </w:r>
      <w:r w:rsidRPr="009514D7">
        <w:t>C. C. Aggarwal, "An Introduction to Cluster Analysis," in Data Clustering, Chapman and Hall/CRC, 2014.</w:t>
      </w:r>
    </w:p>
  </w:footnote>
  <w:footnote w:id="4">
    <w:p w14:paraId="72980748" w14:textId="5D72B8F3" w:rsidR="009925CB" w:rsidRDefault="009925CB">
      <w:pPr>
        <w:pStyle w:val="FootnoteText"/>
      </w:pPr>
      <w:r>
        <w:rPr>
          <w:rStyle w:val="FootnoteReference"/>
        </w:rPr>
        <w:footnoteRef/>
      </w:r>
      <w:r>
        <w:t xml:space="preserve"> </w:t>
      </w:r>
      <w:r w:rsidRPr="009925CB">
        <w:t>W. Webster, "What is cluster analysis? Overview and Examples," Qualtrics, 2025. [Online]. Available: https://www.qualtrics.com/experience-management/research/cluster-analysis/.</w:t>
      </w:r>
    </w:p>
  </w:footnote>
  <w:footnote w:id="5">
    <w:p w14:paraId="6FEAA937" w14:textId="77777777" w:rsidR="005A4760" w:rsidRDefault="005A4760" w:rsidP="005A4760">
      <w:pPr>
        <w:pStyle w:val="FootnoteText"/>
      </w:pPr>
      <w:r>
        <w:rPr>
          <w:rStyle w:val="FootnoteReference"/>
        </w:rPr>
        <w:footnoteRef/>
      </w:r>
      <w:r>
        <w:t xml:space="preserve"> </w:t>
      </w:r>
      <w:r w:rsidRPr="009925CB">
        <w:t>P. A. Borisovsky, A. V. Eremeev, E. B. Grinkevich, S. A. Klokov and N. A. Kosarev, "Trading Hubs Construction in Electricity Markets Using Evolutionary Algorithms," Applied Problems, vol. 24, no. 2, 2014.</w:t>
      </w:r>
    </w:p>
  </w:footnote>
  <w:footnote w:id="6">
    <w:p w14:paraId="3655A728" w14:textId="208B5B2C" w:rsidR="009D2B85" w:rsidRDefault="009D2B85" w:rsidP="009D2B85">
      <w:pPr>
        <w:pStyle w:val="FootnoteText"/>
      </w:pPr>
      <w:r>
        <w:rPr>
          <w:rStyle w:val="FootnoteReference"/>
        </w:rPr>
        <w:footnoteRef/>
      </w:r>
      <w:r>
        <w:t xml:space="preserve"> </w:t>
      </w:r>
      <w:r w:rsidR="003E5F00">
        <w:t xml:space="preserve">See </w:t>
      </w:r>
      <w:hyperlink r:id="rId3" w:history="1">
        <w:r w:rsidRPr="003E5F00">
          <w:rPr>
            <w:rStyle w:val="Hyperlink"/>
            <w:noProof w:val="0"/>
          </w:rPr>
          <w:t>SAS/STAT® 13.2 User’s Guide</w:t>
        </w:r>
        <w:r w:rsidR="003E5F00" w:rsidRPr="003E5F00">
          <w:rPr>
            <w:rStyle w:val="Hyperlink"/>
            <w:noProof w:val="0"/>
          </w:rPr>
          <w:t xml:space="preserve">: </w:t>
        </w:r>
        <w:r w:rsidRPr="003E5F00">
          <w:rPr>
            <w:rStyle w:val="Hyperlink"/>
            <w:noProof w:val="0"/>
          </w:rPr>
          <w:t>The FASTCLUS Procedure</w:t>
        </w:r>
      </w:hyperlink>
    </w:p>
  </w:footnote>
  <w:footnote w:id="7">
    <w:p w14:paraId="5E70F477" w14:textId="328E2E82" w:rsidR="00351A6E" w:rsidRDefault="00351A6E" w:rsidP="00351A6E">
      <w:pPr>
        <w:pStyle w:val="FootnoteText"/>
      </w:pPr>
      <w:r>
        <w:rPr>
          <w:rStyle w:val="FootnoteReference"/>
        </w:rPr>
        <w:footnoteRef/>
      </w:r>
      <w:r>
        <w:t xml:space="preserve"> See </w:t>
      </w:r>
      <w:hyperlink r:id="rId4" w:history="1">
        <w:r w:rsidRPr="00CC11C9">
          <w:rPr>
            <w:rStyle w:val="Hyperlink"/>
            <w:noProof w:val="0"/>
          </w:rPr>
          <w:t>portal.spp.org</w:t>
        </w:r>
      </w:hyperlink>
      <w:r>
        <w:t xml:space="preserve"> </w:t>
      </w:r>
    </w:p>
  </w:footnote>
  <w:footnote w:id="8">
    <w:p w14:paraId="4665E0B9" w14:textId="0067D185" w:rsidR="004A4A77" w:rsidRDefault="004A4A77" w:rsidP="004A4A77">
      <w:pPr>
        <w:pStyle w:val="FootnoteText"/>
      </w:pPr>
      <w:r>
        <w:rPr>
          <w:rStyle w:val="FootnoteReference"/>
        </w:rPr>
        <w:footnoteRef/>
      </w:r>
      <w:r>
        <w:t xml:space="preserve"> If a maximum number of iterations is not specified by the user, the FASTCLUS proc</w:t>
      </w:r>
      <w:r w:rsidR="00B77DD9">
        <w:t>edure will</w:t>
      </w:r>
      <w:r>
        <w:t xml:space="preserve"> run to complete convergence, </w:t>
      </w:r>
      <w:r w:rsidR="00B77DD9">
        <w:t xml:space="preserve">and </w:t>
      </w:r>
      <w:r>
        <w:t xml:space="preserve">the final cluster seeds will </w:t>
      </w:r>
      <w:r w:rsidR="00B77DD9">
        <w:t xml:space="preserve">be </w:t>
      </w:r>
      <w:r>
        <w:t>equal the cluster means</w:t>
      </w:r>
      <w:r w:rsidR="00B77DD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1644" w14:textId="77777777" w:rsidR="00413D5D" w:rsidRPr="00BE344A" w:rsidRDefault="00413D5D" w:rsidP="00557CED">
    <w:pPr>
      <w:pStyle w:val="Header"/>
    </w:pPr>
    <w:r w:rsidRPr="00BE344A">
      <w:t>Southwest Power Pool, Inc.</w:t>
    </w:r>
    <w:r w:rsidRPr="00BE34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2F8B" w14:textId="77777777" w:rsidR="00413D5D" w:rsidRDefault="00413D5D" w:rsidP="00557CED">
    <w:pPr>
      <w:pStyle w:val="Header"/>
    </w:pPr>
    <w:r>
      <w:t>Southwest Power Pool,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7CE9" w14:textId="4570CA7F" w:rsidR="00413D5D" w:rsidRDefault="00413D5D" w:rsidP="00557CED">
    <w:pPr>
      <w:pStyle w:val="Header"/>
    </w:pPr>
    <w:r>
      <w:t xml:space="preserve">Southwest </w:t>
    </w:r>
    <w:r w:rsidRPr="00557CED">
      <w:t>Power</w:t>
    </w:r>
    <w:r>
      <w:t xml:space="preserve"> Pool, Inc.</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4106A"/>
    <w:multiLevelType w:val="hybridMultilevel"/>
    <w:tmpl w:val="13B0CE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62BD4"/>
    <w:multiLevelType w:val="hybridMultilevel"/>
    <w:tmpl w:val="489CF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15286">
    <w:abstractNumId w:val="0"/>
  </w:num>
  <w:num w:numId="2" w16cid:durableId="1986274482">
    <w:abstractNumId w:val="2"/>
  </w:num>
  <w:num w:numId="3" w16cid:durableId="1697778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9"/>
    <w:rsid w:val="00005A9A"/>
    <w:rsid w:val="000073C4"/>
    <w:rsid w:val="000079FD"/>
    <w:rsid w:val="00007DD6"/>
    <w:rsid w:val="000105D9"/>
    <w:rsid w:val="00012A22"/>
    <w:rsid w:val="00013356"/>
    <w:rsid w:val="000138D8"/>
    <w:rsid w:val="00015D41"/>
    <w:rsid w:val="00016673"/>
    <w:rsid w:val="00017BD2"/>
    <w:rsid w:val="00023A94"/>
    <w:rsid w:val="00023B8B"/>
    <w:rsid w:val="00023D4C"/>
    <w:rsid w:val="000243C9"/>
    <w:rsid w:val="00026A7E"/>
    <w:rsid w:val="00030F7B"/>
    <w:rsid w:val="00035F32"/>
    <w:rsid w:val="00036DA6"/>
    <w:rsid w:val="00040A27"/>
    <w:rsid w:val="000442E5"/>
    <w:rsid w:val="00044AF4"/>
    <w:rsid w:val="00045A22"/>
    <w:rsid w:val="00046CD2"/>
    <w:rsid w:val="00051AE4"/>
    <w:rsid w:val="00051ED0"/>
    <w:rsid w:val="00053E48"/>
    <w:rsid w:val="000602D2"/>
    <w:rsid w:val="00060343"/>
    <w:rsid w:val="000613EB"/>
    <w:rsid w:val="00063035"/>
    <w:rsid w:val="0006486F"/>
    <w:rsid w:val="00064B84"/>
    <w:rsid w:val="000652F7"/>
    <w:rsid w:val="00065B0D"/>
    <w:rsid w:val="00067004"/>
    <w:rsid w:val="00067DA1"/>
    <w:rsid w:val="0007368C"/>
    <w:rsid w:val="00073F5A"/>
    <w:rsid w:val="00074CDC"/>
    <w:rsid w:val="00077423"/>
    <w:rsid w:val="0008033A"/>
    <w:rsid w:val="000816F1"/>
    <w:rsid w:val="0008412F"/>
    <w:rsid w:val="000927F1"/>
    <w:rsid w:val="000936AB"/>
    <w:rsid w:val="00096D27"/>
    <w:rsid w:val="00097678"/>
    <w:rsid w:val="000A0FE4"/>
    <w:rsid w:val="000A28EC"/>
    <w:rsid w:val="000A5552"/>
    <w:rsid w:val="000B30E8"/>
    <w:rsid w:val="000B5D4A"/>
    <w:rsid w:val="000B6A5E"/>
    <w:rsid w:val="000C06E1"/>
    <w:rsid w:val="000C277F"/>
    <w:rsid w:val="000C4E72"/>
    <w:rsid w:val="000C5B3E"/>
    <w:rsid w:val="000C5E48"/>
    <w:rsid w:val="000C63A0"/>
    <w:rsid w:val="000D2C94"/>
    <w:rsid w:val="000D37F8"/>
    <w:rsid w:val="000D642B"/>
    <w:rsid w:val="000D6CE6"/>
    <w:rsid w:val="000E048D"/>
    <w:rsid w:val="000E1595"/>
    <w:rsid w:val="000E52F9"/>
    <w:rsid w:val="000E6D0E"/>
    <w:rsid w:val="000F1393"/>
    <w:rsid w:val="000F7722"/>
    <w:rsid w:val="00102B11"/>
    <w:rsid w:val="00107449"/>
    <w:rsid w:val="00107E94"/>
    <w:rsid w:val="00110717"/>
    <w:rsid w:val="001128B5"/>
    <w:rsid w:val="001147EE"/>
    <w:rsid w:val="001152A2"/>
    <w:rsid w:val="0011593D"/>
    <w:rsid w:val="00122B85"/>
    <w:rsid w:val="00122F17"/>
    <w:rsid w:val="00124862"/>
    <w:rsid w:val="00126A05"/>
    <w:rsid w:val="00130096"/>
    <w:rsid w:val="00131361"/>
    <w:rsid w:val="0013237B"/>
    <w:rsid w:val="00144718"/>
    <w:rsid w:val="00144B98"/>
    <w:rsid w:val="001464BA"/>
    <w:rsid w:val="001469EB"/>
    <w:rsid w:val="001504DD"/>
    <w:rsid w:val="00152DD7"/>
    <w:rsid w:val="001547FC"/>
    <w:rsid w:val="00160BEE"/>
    <w:rsid w:val="00160F63"/>
    <w:rsid w:val="0016227F"/>
    <w:rsid w:val="00165612"/>
    <w:rsid w:val="001739C3"/>
    <w:rsid w:val="001751FC"/>
    <w:rsid w:val="00176176"/>
    <w:rsid w:val="0017696E"/>
    <w:rsid w:val="0017749E"/>
    <w:rsid w:val="00177FE0"/>
    <w:rsid w:val="00180564"/>
    <w:rsid w:val="00180897"/>
    <w:rsid w:val="001810CC"/>
    <w:rsid w:val="001828B1"/>
    <w:rsid w:val="00182E21"/>
    <w:rsid w:val="0018770E"/>
    <w:rsid w:val="00192075"/>
    <w:rsid w:val="001928FF"/>
    <w:rsid w:val="00195792"/>
    <w:rsid w:val="001A1088"/>
    <w:rsid w:val="001A2534"/>
    <w:rsid w:val="001B1262"/>
    <w:rsid w:val="001B3F98"/>
    <w:rsid w:val="001B513A"/>
    <w:rsid w:val="001B6C4C"/>
    <w:rsid w:val="001C4AD8"/>
    <w:rsid w:val="001C78EB"/>
    <w:rsid w:val="001D4B95"/>
    <w:rsid w:val="001D5603"/>
    <w:rsid w:val="001D6E9C"/>
    <w:rsid w:val="001D7557"/>
    <w:rsid w:val="001D773D"/>
    <w:rsid w:val="001D7B50"/>
    <w:rsid w:val="001E2226"/>
    <w:rsid w:val="001E28A3"/>
    <w:rsid w:val="001E63FC"/>
    <w:rsid w:val="001E6D38"/>
    <w:rsid w:val="001F000E"/>
    <w:rsid w:val="001F104D"/>
    <w:rsid w:val="001F500B"/>
    <w:rsid w:val="001F5862"/>
    <w:rsid w:val="00202E58"/>
    <w:rsid w:val="00203847"/>
    <w:rsid w:val="00210914"/>
    <w:rsid w:val="0021195F"/>
    <w:rsid w:val="00212CDA"/>
    <w:rsid w:val="002209A8"/>
    <w:rsid w:val="00223B0A"/>
    <w:rsid w:val="002268DA"/>
    <w:rsid w:val="00231E35"/>
    <w:rsid w:val="0023382F"/>
    <w:rsid w:val="002342B8"/>
    <w:rsid w:val="00237824"/>
    <w:rsid w:val="00245135"/>
    <w:rsid w:val="00252FDF"/>
    <w:rsid w:val="0025482B"/>
    <w:rsid w:val="00255512"/>
    <w:rsid w:val="002576CC"/>
    <w:rsid w:val="00261B03"/>
    <w:rsid w:val="00264D43"/>
    <w:rsid w:val="0026519F"/>
    <w:rsid w:val="00271CBA"/>
    <w:rsid w:val="00273A53"/>
    <w:rsid w:val="0027527E"/>
    <w:rsid w:val="0028017E"/>
    <w:rsid w:val="00280357"/>
    <w:rsid w:val="0028433C"/>
    <w:rsid w:val="00285AC8"/>
    <w:rsid w:val="002869FE"/>
    <w:rsid w:val="00287208"/>
    <w:rsid w:val="00287B6F"/>
    <w:rsid w:val="00292820"/>
    <w:rsid w:val="00294E96"/>
    <w:rsid w:val="00296062"/>
    <w:rsid w:val="002B0BC9"/>
    <w:rsid w:val="002B5724"/>
    <w:rsid w:val="002C16B8"/>
    <w:rsid w:val="002C1D73"/>
    <w:rsid w:val="002C3AFA"/>
    <w:rsid w:val="002C3D79"/>
    <w:rsid w:val="002C4D28"/>
    <w:rsid w:val="002C706B"/>
    <w:rsid w:val="002C7315"/>
    <w:rsid w:val="002D28EB"/>
    <w:rsid w:val="002D5C55"/>
    <w:rsid w:val="002D6192"/>
    <w:rsid w:val="002D7CB3"/>
    <w:rsid w:val="002D7E51"/>
    <w:rsid w:val="002E003C"/>
    <w:rsid w:val="002E01D4"/>
    <w:rsid w:val="002E02A3"/>
    <w:rsid w:val="002E137D"/>
    <w:rsid w:val="002E2534"/>
    <w:rsid w:val="002E2D86"/>
    <w:rsid w:val="002E5806"/>
    <w:rsid w:val="002E5AEE"/>
    <w:rsid w:val="002E7AE4"/>
    <w:rsid w:val="002E7F08"/>
    <w:rsid w:val="002F2297"/>
    <w:rsid w:val="002F44C0"/>
    <w:rsid w:val="00301CBE"/>
    <w:rsid w:val="00305591"/>
    <w:rsid w:val="00305D3E"/>
    <w:rsid w:val="00307A8E"/>
    <w:rsid w:val="00311F43"/>
    <w:rsid w:val="00312E99"/>
    <w:rsid w:val="00322A33"/>
    <w:rsid w:val="00324087"/>
    <w:rsid w:val="00324D56"/>
    <w:rsid w:val="00327248"/>
    <w:rsid w:val="00330C72"/>
    <w:rsid w:val="0033311F"/>
    <w:rsid w:val="0033526F"/>
    <w:rsid w:val="0033797A"/>
    <w:rsid w:val="0034326D"/>
    <w:rsid w:val="00345B7A"/>
    <w:rsid w:val="003462B6"/>
    <w:rsid w:val="00346F33"/>
    <w:rsid w:val="003476D0"/>
    <w:rsid w:val="00351A6E"/>
    <w:rsid w:val="0035222C"/>
    <w:rsid w:val="00354EB7"/>
    <w:rsid w:val="003576A3"/>
    <w:rsid w:val="0036134E"/>
    <w:rsid w:val="003657DA"/>
    <w:rsid w:val="0036636A"/>
    <w:rsid w:val="00366F36"/>
    <w:rsid w:val="00367155"/>
    <w:rsid w:val="0037156A"/>
    <w:rsid w:val="003730D7"/>
    <w:rsid w:val="0037319D"/>
    <w:rsid w:val="00373272"/>
    <w:rsid w:val="003733D3"/>
    <w:rsid w:val="0037569C"/>
    <w:rsid w:val="0037638F"/>
    <w:rsid w:val="003820E7"/>
    <w:rsid w:val="00384FE9"/>
    <w:rsid w:val="00390E86"/>
    <w:rsid w:val="00391798"/>
    <w:rsid w:val="003941DA"/>
    <w:rsid w:val="00397254"/>
    <w:rsid w:val="003A0A76"/>
    <w:rsid w:val="003A16FC"/>
    <w:rsid w:val="003A1CC9"/>
    <w:rsid w:val="003A25CB"/>
    <w:rsid w:val="003A35AE"/>
    <w:rsid w:val="003B1D2B"/>
    <w:rsid w:val="003C1B62"/>
    <w:rsid w:val="003C2A0E"/>
    <w:rsid w:val="003C41BF"/>
    <w:rsid w:val="003C48E7"/>
    <w:rsid w:val="003C6547"/>
    <w:rsid w:val="003D525F"/>
    <w:rsid w:val="003D5538"/>
    <w:rsid w:val="003D6C6B"/>
    <w:rsid w:val="003E3D58"/>
    <w:rsid w:val="003E5F00"/>
    <w:rsid w:val="003E6A84"/>
    <w:rsid w:val="003E751A"/>
    <w:rsid w:val="003E75CE"/>
    <w:rsid w:val="003F3C82"/>
    <w:rsid w:val="003F5B11"/>
    <w:rsid w:val="003F5D37"/>
    <w:rsid w:val="003F6FE3"/>
    <w:rsid w:val="00400687"/>
    <w:rsid w:val="00401800"/>
    <w:rsid w:val="00405425"/>
    <w:rsid w:val="00406C6A"/>
    <w:rsid w:val="0041294F"/>
    <w:rsid w:val="00413D5D"/>
    <w:rsid w:val="00421215"/>
    <w:rsid w:val="00421564"/>
    <w:rsid w:val="0042191B"/>
    <w:rsid w:val="00424EA0"/>
    <w:rsid w:val="004257A7"/>
    <w:rsid w:val="00426BA5"/>
    <w:rsid w:val="00426F11"/>
    <w:rsid w:val="0043068C"/>
    <w:rsid w:val="00432F56"/>
    <w:rsid w:val="00435D67"/>
    <w:rsid w:val="004370A3"/>
    <w:rsid w:val="00437F67"/>
    <w:rsid w:val="00440A89"/>
    <w:rsid w:val="004523AB"/>
    <w:rsid w:val="00455F6D"/>
    <w:rsid w:val="00457AAF"/>
    <w:rsid w:val="00464AFE"/>
    <w:rsid w:val="0046621E"/>
    <w:rsid w:val="00466D7A"/>
    <w:rsid w:val="00473BD7"/>
    <w:rsid w:val="004742F6"/>
    <w:rsid w:val="00476C5D"/>
    <w:rsid w:val="004770A7"/>
    <w:rsid w:val="004778DC"/>
    <w:rsid w:val="00480656"/>
    <w:rsid w:val="00482D36"/>
    <w:rsid w:val="0048516C"/>
    <w:rsid w:val="00487533"/>
    <w:rsid w:val="00493773"/>
    <w:rsid w:val="00494881"/>
    <w:rsid w:val="0049489E"/>
    <w:rsid w:val="00494CA5"/>
    <w:rsid w:val="004A0254"/>
    <w:rsid w:val="004A4A77"/>
    <w:rsid w:val="004A62C6"/>
    <w:rsid w:val="004B1FAC"/>
    <w:rsid w:val="004B5A7B"/>
    <w:rsid w:val="004B671F"/>
    <w:rsid w:val="004B79E6"/>
    <w:rsid w:val="004C1A95"/>
    <w:rsid w:val="004C2191"/>
    <w:rsid w:val="004C605F"/>
    <w:rsid w:val="004C64D7"/>
    <w:rsid w:val="004D0900"/>
    <w:rsid w:val="004D0B53"/>
    <w:rsid w:val="004D2712"/>
    <w:rsid w:val="004D2792"/>
    <w:rsid w:val="004D42EA"/>
    <w:rsid w:val="004D4CEF"/>
    <w:rsid w:val="004D695E"/>
    <w:rsid w:val="004D6BF7"/>
    <w:rsid w:val="004D7A1C"/>
    <w:rsid w:val="004E35B3"/>
    <w:rsid w:val="004E66E3"/>
    <w:rsid w:val="004F0638"/>
    <w:rsid w:val="004F2A2D"/>
    <w:rsid w:val="004F30EC"/>
    <w:rsid w:val="004F7719"/>
    <w:rsid w:val="00501ACF"/>
    <w:rsid w:val="00505195"/>
    <w:rsid w:val="005075C6"/>
    <w:rsid w:val="0050762F"/>
    <w:rsid w:val="005077C3"/>
    <w:rsid w:val="005103A5"/>
    <w:rsid w:val="00510A59"/>
    <w:rsid w:val="00511DE7"/>
    <w:rsid w:val="00512782"/>
    <w:rsid w:val="005141B9"/>
    <w:rsid w:val="00516FD5"/>
    <w:rsid w:val="0052390E"/>
    <w:rsid w:val="00525BB7"/>
    <w:rsid w:val="00526184"/>
    <w:rsid w:val="005269EB"/>
    <w:rsid w:val="00531B38"/>
    <w:rsid w:val="005331B1"/>
    <w:rsid w:val="00533527"/>
    <w:rsid w:val="0053713C"/>
    <w:rsid w:val="00537B18"/>
    <w:rsid w:val="00543A22"/>
    <w:rsid w:val="00545C4D"/>
    <w:rsid w:val="00550787"/>
    <w:rsid w:val="005535A4"/>
    <w:rsid w:val="00557CED"/>
    <w:rsid w:val="005707C7"/>
    <w:rsid w:val="00571E39"/>
    <w:rsid w:val="00573F2E"/>
    <w:rsid w:val="0057613A"/>
    <w:rsid w:val="0058119F"/>
    <w:rsid w:val="00581321"/>
    <w:rsid w:val="00583819"/>
    <w:rsid w:val="00592B79"/>
    <w:rsid w:val="005978A8"/>
    <w:rsid w:val="005A0F27"/>
    <w:rsid w:val="005A4760"/>
    <w:rsid w:val="005A5668"/>
    <w:rsid w:val="005A5675"/>
    <w:rsid w:val="005A7070"/>
    <w:rsid w:val="005B7977"/>
    <w:rsid w:val="005C036C"/>
    <w:rsid w:val="005D78A1"/>
    <w:rsid w:val="005E077F"/>
    <w:rsid w:val="005E1A83"/>
    <w:rsid w:val="005E216F"/>
    <w:rsid w:val="005F2ADB"/>
    <w:rsid w:val="005F3A15"/>
    <w:rsid w:val="005F5E5A"/>
    <w:rsid w:val="005F66F3"/>
    <w:rsid w:val="005F780B"/>
    <w:rsid w:val="006003E2"/>
    <w:rsid w:val="00600A3D"/>
    <w:rsid w:val="00601EAB"/>
    <w:rsid w:val="0061432F"/>
    <w:rsid w:val="006145A8"/>
    <w:rsid w:val="00615F31"/>
    <w:rsid w:val="00617BB2"/>
    <w:rsid w:val="00623CA8"/>
    <w:rsid w:val="00631336"/>
    <w:rsid w:val="00632435"/>
    <w:rsid w:val="00632FAE"/>
    <w:rsid w:val="0063743D"/>
    <w:rsid w:val="00637868"/>
    <w:rsid w:val="006400D9"/>
    <w:rsid w:val="006406FB"/>
    <w:rsid w:val="00640AFD"/>
    <w:rsid w:val="00641DC0"/>
    <w:rsid w:val="00647F98"/>
    <w:rsid w:val="006548D7"/>
    <w:rsid w:val="00654A11"/>
    <w:rsid w:val="00660642"/>
    <w:rsid w:val="00660BE0"/>
    <w:rsid w:val="0066360A"/>
    <w:rsid w:val="00664C07"/>
    <w:rsid w:val="00670174"/>
    <w:rsid w:val="006840EC"/>
    <w:rsid w:val="00690B1D"/>
    <w:rsid w:val="00695445"/>
    <w:rsid w:val="006969AC"/>
    <w:rsid w:val="006A0171"/>
    <w:rsid w:val="006A35E8"/>
    <w:rsid w:val="006A6000"/>
    <w:rsid w:val="006B008B"/>
    <w:rsid w:val="006B3350"/>
    <w:rsid w:val="006C026E"/>
    <w:rsid w:val="006C54CC"/>
    <w:rsid w:val="006C6FC1"/>
    <w:rsid w:val="006D4920"/>
    <w:rsid w:val="006D5FDC"/>
    <w:rsid w:val="006E1E43"/>
    <w:rsid w:val="006E47F2"/>
    <w:rsid w:val="006E58DD"/>
    <w:rsid w:val="006E638B"/>
    <w:rsid w:val="006E7069"/>
    <w:rsid w:val="006E73FC"/>
    <w:rsid w:val="006E76B2"/>
    <w:rsid w:val="006F1F71"/>
    <w:rsid w:val="006F2633"/>
    <w:rsid w:val="006F50B0"/>
    <w:rsid w:val="0070066F"/>
    <w:rsid w:val="00700B1A"/>
    <w:rsid w:val="00703334"/>
    <w:rsid w:val="00712DCE"/>
    <w:rsid w:val="007133C7"/>
    <w:rsid w:val="0071477E"/>
    <w:rsid w:val="007171BC"/>
    <w:rsid w:val="00717C46"/>
    <w:rsid w:val="0072377A"/>
    <w:rsid w:val="0072506C"/>
    <w:rsid w:val="007250FC"/>
    <w:rsid w:val="00725D41"/>
    <w:rsid w:val="00725DE6"/>
    <w:rsid w:val="00726070"/>
    <w:rsid w:val="00726522"/>
    <w:rsid w:val="00726F74"/>
    <w:rsid w:val="00730521"/>
    <w:rsid w:val="00730FB4"/>
    <w:rsid w:val="00731CD0"/>
    <w:rsid w:val="007320E7"/>
    <w:rsid w:val="00733B0C"/>
    <w:rsid w:val="00735A61"/>
    <w:rsid w:val="00740118"/>
    <w:rsid w:val="0074289B"/>
    <w:rsid w:val="00742B98"/>
    <w:rsid w:val="007470E7"/>
    <w:rsid w:val="007471E8"/>
    <w:rsid w:val="00747517"/>
    <w:rsid w:val="007556BC"/>
    <w:rsid w:val="0075599B"/>
    <w:rsid w:val="00763AAF"/>
    <w:rsid w:val="00765D1D"/>
    <w:rsid w:val="00765EE9"/>
    <w:rsid w:val="00772183"/>
    <w:rsid w:val="00772522"/>
    <w:rsid w:val="007765E3"/>
    <w:rsid w:val="007768F1"/>
    <w:rsid w:val="007802EE"/>
    <w:rsid w:val="00786ECC"/>
    <w:rsid w:val="00794429"/>
    <w:rsid w:val="00794C34"/>
    <w:rsid w:val="00796638"/>
    <w:rsid w:val="007A0CA9"/>
    <w:rsid w:val="007A4EA9"/>
    <w:rsid w:val="007A6AF0"/>
    <w:rsid w:val="007A7722"/>
    <w:rsid w:val="007A78E2"/>
    <w:rsid w:val="007A7BA1"/>
    <w:rsid w:val="007A7FD8"/>
    <w:rsid w:val="007B1B6C"/>
    <w:rsid w:val="007B22D2"/>
    <w:rsid w:val="007B3132"/>
    <w:rsid w:val="007B5CFC"/>
    <w:rsid w:val="007B7E75"/>
    <w:rsid w:val="007C218F"/>
    <w:rsid w:val="007C2F8F"/>
    <w:rsid w:val="007C330B"/>
    <w:rsid w:val="007C3FE9"/>
    <w:rsid w:val="007C5493"/>
    <w:rsid w:val="007C5FF9"/>
    <w:rsid w:val="007D1D3C"/>
    <w:rsid w:val="007D6777"/>
    <w:rsid w:val="007E2011"/>
    <w:rsid w:val="007E36AB"/>
    <w:rsid w:val="007E3EF3"/>
    <w:rsid w:val="007E5118"/>
    <w:rsid w:val="007E55C9"/>
    <w:rsid w:val="007F3311"/>
    <w:rsid w:val="007F5645"/>
    <w:rsid w:val="007F78CA"/>
    <w:rsid w:val="00803A3F"/>
    <w:rsid w:val="0080744A"/>
    <w:rsid w:val="0081061C"/>
    <w:rsid w:val="008112A2"/>
    <w:rsid w:val="0081485A"/>
    <w:rsid w:val="00816A5C"/>
    <w:rsid w:val="00817997"/>
    <w:rsid w:val="0082164C"/>
    <w:rsid w:val="0082537B"/>
    <w:rsid w:val="00826BAD"/>
    <w:rsid w:val="00831A8A"/>
    <w:rsid w:val="00832AFC"/>
    <w:rsid w:val="00833CC5"/>
    <w:rsid w:val="008434A1"/>
    <w:rsid w:val="0084355E"/>
    <w:rsid w:val="0084414B"/>
    <w:rsid w:val="00844A3E"/>
    <w:rsid w:val="00845DB4"/>
    <w:rsid w:val="0085617B"/>
    <w:rsid w:val="00856BF4"/>
    <w:rsid w:val="00862F48"/>
    <w:rsid w:val="00863A8A"/>
    <w:rsid w:val="00866609"/>
    <w:rsid w:val="00867651"/>
    <w:rsid w:val="00876974"/>
    <w:rsid w:val="008773BA"/>
    <w:rsid w:val="00880639"/>
    <w:rsid w:val="00880F04"/>
    <w:rsid w:val="00880F16"/>
    <w:rsid w:val="00881A64"/>
    <w:rsid w:val="008825F3"/>
    <w:rsid w:val="008848AB"/>
    <w:rsid w:val="00893255"/>
    <w:rsid w:val="0089633E"/>
    <w:rsid w:val="008966F7"/>
    <w:rsid w:val="00896B46"/>
    <w:rsid w:val="00896C71"/>
    <w:rsid w:val="008A32BD"/>
    <w:rsid w:val="008A4353"/>
    <w:rsid w:val="008A4F18"/>
    <w:rsid w:val="008A7A1F"/>
    <w:rsid w:val="008A7ACF"/>
    <w:rsid w:val="008B4142"/>
    <w:rsid w:val="008B59A5"/>
    <w:rsid w:val="008B5E1A"/>
    <w:rsid w:val="008C1876"/>
    <w:rsid w:val="008C1C38"/>
    <w:rsid w:val="008C5B0B"/>
    <w:rsid w:val="008D0E7E"/>
    <w:rsid w:val="008D4BFF"/>
    <w:rsid w:val="008E2FBA"/>
    <w:rsid w:val="008E4038"/>
    <w:rsid w:val="008E4751"/>
    <w:rsid w:val="008F0AA3"/>
    <w:rsid w:val="008F1461"/>
    <w:rsid w:val="008F54C3"/>
    <w:rsid w:val="008F6F0E"/>
    <w:rsid w:val="00900564"/>
    <w:rsid w:val="0090137D"/>
    <w:rsid w:val="00901505"/>
    <w:rsid w:val="00906A5C"/>
    <w:rsid w:val="00910E35"/>
    <w:rsid w:val="0091332F"/>
    <w:rsid w:val="00921F79"/>
    <w:rsid w:val="0092213F"/>
    <w:rsid w:val="00922673"/>
    <w:rsid w:val="00922D0D"/>
    <w:rsid w:val="009243AF"/>
    <w:rsid w:val="00926669"/>
    <w:rsid w:val="00927509"/>
    <w:rsid w:val="00927DF9"/>
    <w:rsid w:val="009305BE"/>
    <w:rsid w:val="00932B73"/>
    <w:rsid w:val="00933C2B"/>
    <w:rsid w:val="00934014"/>
    <w:rsid w:val="009402BE"/>
    <w:rsid w:val="009446EB"/>
    <w:rsid w:val="009448A5"/>
    <w:rsid w:val="0094500B"/>
    <w:rsid w:val="00945429"/>
    <w:rsid w:val="009514D7"/>
    <w:rsid w:val="00952F32"/>
    <w:rsid w:val="0096033D"/>
    <w:rsid w:val="009611A1"/>
    <w:rsid w:val="00962D93"/>
    <w:rsid w:val="00962DD0"/>
    <w:rsid w:val="00967085"/>
    <w:rsid w:val="0097101C"/>
    <w:rsid w:val="00971F67"/>
    <w:rsid w:val="00972F10"/>
    <w:rsid w:val="0097338A"/>
    <w:rsid w:val="00974035"/>
    <w:rsid w:val="00974460"/>
    <w:rsid w:val="0097710F"/>
    <w:rsid w:val="00984744"/>
    <w:rsid w:val="00984A12"/>
    <w:rsid w:val="00985AF2"/>
    <w:rsid w:val="00991A97"/>
    <w:rsid w:val="009925CB"/>
    <w:rsid w:val="00992CF9"/>
    <w:rsid w:val="009A533B"/>
    <w:rsid w:val="009B0442"/>
    <w:rsid w:val="009B37D8"/>
    <w:rsid w:val="009B3C08"/>
    <w:rsid w:val="009B7E29"/>
    <w:rsid w:val="009C6F97"/>
    <w:rsid w:val="009D1327"/>
    <w:rsid w:val="009D1332"/>
    <w:rsid w:val="009D2B85"/>
    <w:rsid w:val="009D7EB3"/>
    <w:rsid w:val="009E0AB5"/>
    <w:rsid w:val="009E0EF6"/>
    <w:rsid w:val="009E10F5"/>
    <w:rsid w:val="009E48E9"/>
    <w:rsid w:val="009E5449"/>
    <w:rsid w:val="009E551B"/>
    <w:rsid w:val="009E662B"/>
    <w:rsid w:val="009E6AE6"/>
    <w:rsid w:val="00A04347"/>
    <w:rsid w:val="00A068B5"/>
    <w:rsid w:val="00A07198"/>
    <w:rsid w:val="00A07243"/>
    <w:rsid w:val="00A073A0"/>
    <w:rsid w:val="00A0780D"/>
    <w:rsid w:val="00A07E5E"/>
    <w:rsid w:val="00A1028E"/>
    <w:rsid w:val="00A142DB"/>
    <w:rsid w:val="00A156BE"/>
    <w:rsid w:val="00A20AEE"/>
    <w:rsid w:val="00A268FC"/>
    <w:rsid w:val="00A274A9"/>
    <w:rsid w:val="00A32130"/>
    <w:rsid w:val="00A32263"/>
    <w:rsid w:val="00A32B03"/>
    <w:rsid w:val="00A34022"/>
    <w:rsid w:val="00A344F6"/>
    <w:rsid w:val="00A348D8"/>
    <w:rsid w:val="00A35EF3"/>
    <w:rsid w:val="00A37FC8"/>
    <w:rsid w:val="00A4192E"/>
    <w:rsid w:val="00A4194B"/>
    <w:rsid w:val="00A42E4C"/>
    <w:rsid w:val="00A44C1F"/>
    <w:rsid w:val="00A47A02"/>
    <w:rsid w:val="00A57B04"/>
    <w:rsid w:val="00A60934"/>
    <w:rsid w:val="00A65408"/>
    <w:rsid w:val="00A6652F"/>
    <w:rsid w:val="00A71816"/>
    <w:rsid w:val="00A72629"/>
    <w:rsid w:val="00A739F9"/>
    <w:rsid w:val="00A83C37"/>
    <w:rsid w:val="00A85B65"/>
    <w:rsid w:val="00A86831"/>
    <w:rsid w:val="00A91C35"/>
    <w:rsid w:val="00A91FD7"/>
    <w:rsid w:val="00A934CD"/>
    <w:rsid w:val="00A9550B"/>
    <w:rsid w:val="00AA2F71"/>
    <w:rsid w:val="00AA4DB2"/>
    <w:rsid w:val="00AA6A4A"/>
    <w:rsid w:val="00AB3C93"/>
    <w:rsid w:val="00AB6586"/>
    <w:rsid w:val="00AC53D8"/>
    <w:rsid w:val="00AC79C6"/>
    <w:rsid w:val="00AD1407"/>
    <w:rsid w:val="00AD2EFA"/>
    <w:rsid w:val="00AD7282"/>
    <w:rsid w:val="00AE4AAD"/>
    <w:rsid w:val="00AE6E26"/>
    <w:rsid w:val="00AE6E96"/>
    <w:rsid w:val="00AF1B60"/>
    <w:rsid w:val="00AF1C3E"/>
    <w:rsid w:val="00AF21A0"/>
    <w:rsid w:val="00AF2E5B"/>
    <w:rsid w:val="00AF2EE4"/>
    <w:rsid w:val="00AF3DA4"/>
    <w:rsid w:val="00AF5662"/>
    <w:rsid w:val="00AF6E07"/>
    <w:rsid w:val="00AF6FB3"/>
    <w:rsid w:val="00B039B1"/>
    <w:rsid w:val="00B073BC"/>
    <w:rsid w:val="00B12367"/>
    <w:rsid w:val="00B13C92"/>
    <w:rsid w:val="00B21950"/>
    <w:rsid w:val="00B22211"/>
    <w:rsid w:val="00B266C9"/>
    <w:rsid w:val="00B26948"/>
    <w:rsid w:val="00B30037"/>
    <w:rsid w:val="00B306AC"/>
    <w:rsid w:val="00B3342F"/>
    <w:rsid w:val="00B34397"/>
    <w:rsid w:val="00B34752"/>
    <w:rsid w:val="00B3718E"/>
    <w:rsid w:val="00B4070C"/>
    <w:rsid w:val="00B4110B"/>
    <w:rsid w:val="00B41E98"/>
    <w:rsid w:val="00B43861"/>
    <w:rsid w:val="00B43E31"/>
    <w:rsid w:val="00B470CB"/>
    <w:rsid w:val="00B55818"/>
    <w:rsid w:val="00B5711E"/>
    <w:rsid w:val="00B6330C"/>
    <w:rsid w:val="00B65D3C"/>
    <w:rsid w:val="00B70B0C"/>
    <w:rsid w:val="00B73A83"/>
    <w:rsid w:val="00B73C62"/>
    <w:rsid w:val="00B77DD9"/>
    <w:rsid w:val="00B77E4A"/>
    <w:rsid w:val="00B81A15"/>
    <w:rsid w:val="00B81D95"/>
    <w:rsid w:val="00B84084"/>
    <w:rsid w:val="00B85DF0"/>
    <w:rsid w:val="00B87BB5"/>
    <w:rsid w:val="00B925D0"/>
    <w:rsid w:val="00B96C40"/>
    <w:rsid w:val="00B97A2F"/>
    <w:rsid w:val="00B97D03"/>
    <w:rsid w:val="00BA0FFB"/>
    <w:rsid w:val="00BA1A64"/>
    <w:rsid w:val="00BA5E5C"/>
    <w:rsid w:val="00BB14F9"/>
    <w:rsid w:val="00BB1C2F"/>
    <w:rsid w:val="00BB3DC9"/>
    <w:rsid w:val="00BB6D99"/>
    <w:rsid w:val="00BB7746"/>
    <w:rsid w:val="00BB7BCC"/>
    <w:rsid w:val="00BC0384"/>
    <w:rsid w:val="00BC1A85"/>
    <w:rsid w:val="00BC1D82"/>
    <w:rsid w:val="00BC7693"/>
    <w:rsid w:val="00BD14CD"/>
    <w:rsid w:val="00BD164E"/>
    <w:rsid w:val="00BD18AB"/>
    <w:rsid w:val="00BD38AC"/>
    <w:rsid w:val="00BD607A"/>
    <w:rsid w:val="00BD7933"/>
    <w:rsid w:val="00BD7F05"/>
    <w:rsid w:val="00BE0741"/>
    <w:rsid w:val="00BE09C9"/>
    <w:rsid w:val="00BE344A"/>
    <w:rsid w:val="00BE47C7"/>
    <w:rsid w:val="00BF0901"/>
    <w:rsid w:val="00BF35ED"/>
    <w:rsid w:val="00BF4A61"/>
    <w:rsid w:val="00BF5754"/>
    <w:rsid w:val="00BF6DE7"/>
    <w:rsid w:val="00C018CC"/>
    <w:rsid w:val="00C05CF8"/>
    <w:rsid w:val="00C11131"/>
    <w:rsid w:val="00C1323D"/>
    <w:rsid w:val="00C1452C"/>
    <w:rsid w:val="00C17BF8"/>
    <w:rsid w:val="00C20B55"/>
    <w:rsid w:val="00C217D4"/>
    <w:rsid w:val="00C22087"/>
    <w:rsid w:val="00C23E32"/>
    <w:rsid w:val="00C2557E"/>
    <w:rsid w:val="00C30743"/>
    <w:rsid w:val="00C3356C"/>
    <w:rsid w:val="00C3496D"/>
    <w:rsid w:val="00C36BBB"/>
    <w:rsid w:val="00C376F1"/>
    <w:rsid w:val="00C410A9"/>
    <w:rsid w:val="00C414AE"/>
    <w:rsid w:val="00C41EF9"/>
    <w:rsid w:val="00C4391C"/>
    <w:rsid w:val="00C43A0A"/>
    <w:rsid w:val="00C47F50"/>
    <w:rsid w:val="00C506B2"/>
    <w:rsid w:val="00C5283E"/>
    <w:rsid w:val="00C528ED"/>
    <w:rsid w:val="00C539A1"/>
    <w:rsid w:val="00C570E6"/>
    <w:rsid w:val="00C6450E"/>
    <w:rsid w:val="00C736D5"/>
    <w:rsid w:val="00C76FBF"/>
    <w:rsid w:val="00C8295A"/>
    <w:rsid w:val="00C8342C"/>
    <w:rsid w:val="00C85C76"/>
    <w:rsid w:val="00C87B11"/>
    <w:rsid w:val="00C93E9F"/>
    <w:rsid w:val="00C9556C"/>
    <w:rsid w:val="00C963B4"/>
    <w:rsid w:val="00C96410"/>
    <w:rsid w:val="00C97F1B"/>
    <w:rsid w:val="00CA0A92"/>
    <w:rsid w:val="00CA0E25"/>
    <w:rsid w:val="00CA2E01"/>
    <w:rsid w:val="00CA3995"/>
    <w:rsid w:val="00CA4FFF"/>
    <w:rsid w:val="00CA627C"/>
    <w:rsid w:val="00CB3F18"/>
    <w:rsid w:val="00CB4071"/>
    <w:rsid w:val="00CB73CF"/>
    <w:rsid w:val="00CC0137"/>
    <w:rsid w:val="00CC11C9"/>
    <w:rsid w:val="00CD0891"/>
    <w:rsid w:val="00CD2EF7"/>
    <w:rsid w:val="00CD5BE7"/>
    <w:rsid w:val="00CD63DF"/>
    <w:rsid w:val="00CD7215"/>
    <w:rsid w:val="00CE1518"/>
    <w:rsid w:val="00CE41C5"/>
    <w:rsid w:val="00CE5CC9"/>
    <w:rsid w:val="00CF06A2"/>
    <w:rsid w:val="00CF56C0"/>
    <w:rsid w:val="00D00D76"/>
    <w:rsid w:val="00D0160A"/>
    <w:rsid w:val="00D03D9C"/>
    <w:rsid w:val="00D1071D"/>
    <w:rsid w:val="00D123B7"/>
    <w:rsid w:val="00D12491"/>
    <w:rsid w:val="00D136F1"/>
    <w:rsid w:val="00D13D6D"/>
    <w:rsid w:val="00D1400F"/>
    <w:rsid w:val="00D14560"/>
    <w:rsid w:val="00D14D96"/>
    <w:rsid w:val="00D15231"/>
    <w:rsid w:val="00D17EF2"/>
    <w:rsid w:val="00D222A7"/>
    <w:rsid w:val="00D222D5"/>
    <w:rsid w:val="00D27804"/>
    <w:rsid w:val="00D309FF"/>
    <w:rsid w:val="00D329DC"/>
    <w:rsid w:val="00D361E9"/>
    <w:rsid w:val="00D43863"/>
    <w:rsid w:val="00D444E0"/>
    <w:rsid w:val="00D453EB"/>
    <w:rsid w:val="00D45434"/>
    <w:rsid w:val="00D45660"/>
    <w:rsid w:val="00D47424"/>
    <w:rsid w:val="00D4793C"/>
    <w:rsid w:val="00D50A37"/>
    <w:rsid w:val="00D534D2"/>
    <w:rsid w:val="00D545F3"/>
    <w:rsid w:val="00D5607F"/>
    <w:rsid w:val="00D6031C"/>
    <w:rsid w:val="00D61978"/>
    <w:rsid w:val="00D61E74"/>
    <w:rsid w:val="00D668FF"/>
    <w:rsid w:val="00D674EF"/>
    <w:rsid w:val="00D71785"/>
    <w:rsid w:val="00D73C96"/>
    <w:rsid w:val="00D76535"/>
    <w:rsid w:val="00D77478"/>
    <w:rsid w:val="00D82B4D"/>
    <w:rsid w:val="00D852FF"/>
    <w:rsid w:val="00D92E2D"/>
    <w:rsid w:val="00D942D7"/>
    <w:rsid w:val="00D9602C"/>
    <w:rsid w:val="00DA235D"/>
    <w:rsid w:val="00DA41F7"/>
    <w:rsid w:val="00DB1DD7"/>
    <w:rsid w:val="00DB325B"/>
    <w:rsid w:val="00DB4050"/>
    <w:rsid w:val="00DB4DAB"/>
    <w:rsid w:val="00DB53B8"/>
    <w:rsid w:val="00DC0E74"/>
    <w:rsid w:val="00DC422F"/>
    <w:rsid w:val="00DC4D26"/>
    <w:rsid w:val="00DC5FD7"/>
    <w:rsid w:val="00DC7F58"/>
    <w:rsid w:val="00DD0E70"/>
    <w:rsid w:val="00DD1EE9"/>
    <w:rsid w:val="00DD2394"/>
    <w:rsid w:val="00DD33CA"/>
    <w:rsid w:val="00DD41C3"/>
    <w:rsid w:val="00DD4D5A"/>
    <w:rsid w:val="00DE3507"/>
    <w:rsid w:val="00DF3AC0"/>
    <w:rsid w:val="00DF4439"/>
    <w:rsid w:val="00DF6BF8"/>
    <w:rsid w:val="00DF7DF5"/>
    <w:rsid w:val="00E00AFF"/>
    <w:rsid w:val="00E01794"/>
    <w:rsid w:val="00E044A7"/>
    <w:rsid w:val="00E07402"/>
    <w:rsid w:val="00E2414F"/>
    <w:rsid w:val="00E269F1"/>
    <w:rsid w:val="00E31B38"/>
    <w:rsid w:val="00E33E97"/>
    <w:rsid w:val="00E34F2B"/>
    <w:rsid w:val="00E3533D"/>
    <w:rsid w:val="00E41F74"/>
    <w:rsid w:val="00E42605"/>
    <w:rsid w:val="00E45F8B"/>
    <w:rsid w:val="00E505DE"/>
    <w:rsid w:val="00E52FA7"/>
    <w:rsid w:val="00E5321C"/>
    <w:rsid w:val="00E53E74"/>
    <w:rsid w:val="00E541E7"/>
    <w:rsid w:val="00E624D7"/>
    <w:rsid w:val="00E6327F"/>
    <w:rsid w:val="00E64A78"/>
    <w:rsid w:val="00E65B67"/>
    <w:rsid w:val="00E67BBF"/>
    <w:rsid w:val="00E70300"/>
    <w:rsid w:val="00E717C8"/>
    <w:rsid w:val="00E73259"/>
    <w:rsid w:val="00E73BA7"/>
    <w:rsid w:val="00E77021"/>
    <w:rsid w:val="00E820F3"/>
    <w:rsid w:val="00E83D4A"/>
    <w:rsid w:val="00E84EFB"/>
    <w:rsid w:val="00E8614B"/>
    <w:rsid w:val="00E931A4"/>
    <w:rsid w:val="00E945DB"/>
    <w:rsid w:val="00E9663D"/>
    <w:rsid w:val="00E97B31"/>
    <w:rsid w:val="00EA2FEF"/>
    <w:rsid w:val="00EA39E6"/>
    <w:rsid w:val="00EA4BFE"/>
    <w:rsid w:val="00EA4D79"/>
    <w:rsid w:val="00EA5D66"/>
    <w:rsid w:val="00EA6C77"/>
    <w:rsid w:val="00EA7E2C"/>
    <w:rsid w:val="00EB15ED"/>
    <w:rsid w:val="00EB195F"/>
    <w:rsid w:val="00EB2391"/>
    <w:rsid w:val="00EB35CC"/>
    <w:rsid w:val="00EB4B1B"/>
    <w:rsid w:val="00EB5941"/>
    <w:rsid w:val="00EB6523"/>
    <w:rsid w:val="00EB7979"/>
    <w:rsid w:val="00EC0B82"/>
    <w:rsid w:val="00EC4859"/>
    <w:rsid w:val="00EC523B"/>
    <w:rsid w:val="00EC7260"/>
    <w:rsid w:val="00ED19A4"/>
    <w:rsid w:val="00EE0799"/>
    <w:rsid w:val="00EE2388"/>
    <w:rsid w:val="00EE34F8"/>
    <w:rsid w:val="00EE5C9D"/>
    <w:rsid w:val="00EF638D"/>
    <w:rsid w:val="00F04B67"/>
    <w:rsid w:val="00F059DF"/>
    <w:rsid w:val="00F05B37"/>
    <w:rsid w:val="00F11446"/>
    <w:rsid w:val="00F134E9"/>
    <w:rsid w:val="00F1666A"/>
    <w:rsid w:val="00F208E4"/>
    <w:rsid w:val="00F23F9C"/>
    <w:rsid w:val="00F24F43"/>
    <w:rsid w:val="00F25314"/>
    <w:rsid w:val="00F305AF"/>
    <w:rsid w:val="00F318CA"/>
    <w:rsid w:val="00F31AB4"/>
    <w:rsid w:val="00F31E6B"/>
    <w:rsid w:val="00F32617"/>
    <w:rsid w:val="00F35189"/>
    <w:rsid w:val="00F35B31"/>
    <w:rsid w:val="00F365D8"/>
    <w:rsid w:val="00F44644"/>
    <w:rsid w:val="00F4490B"/>
    <w:rsid w:val="00F44C1A"/>
    <w:rsid w:val="00F46C6A"/>
    <w:rsid w:val="00F51752"/>
    <w:rsid w:val="00F519E2"/>
    <w:rsid w:val="00F51D41"/>
    <w:rsid w:val="00F549AB"/>
    <w:rsid w:val="00F575DF"/>
    <w:rsid w:val="00F617B1"/>
    <w:rsid w:val="00F66D37"/>
    <w:rsid w:val="00F7170E"/>
    <w:rsid w:val="00F727F6"/>
    <w:rsid w:val="00F75963"/>
    <w:rsid w:val="00F75C95"/>
    <w:rsid w:val="00F76703"/>
    <w:rsid w:val="00F77CEA"/>
    <w:rsid w:val="00F80D61"/>
    <w:rsid w:val="00F83D11"/>
    <w:rsid w:val="00F8404D"/>
    <w:rsid w:val="00F84D0A"/>
    <w:rsid w:val="00F8570A"/>
    <w:rsid w:val="00F86087"/>
    <w:rsid w:val="00F86CEB"/>
    <w:rsid w:val="00F9277F"/>
    <w:rsid w:val="00FA0219"/>
    <w:rsid w:val="00FA1A91"/>
    <w:rsid w:val="00FA30BB"/>
    <w:rsid w:val="00FA5325"/>
    <w:rsid w:val="00FB259F"/>
    <w:rsid w:val="00FB2C7B"/>
    <w:rsid w:val="00FB453E"/>
    <w:rsid w:val="00FB4BD1"/>
    <w:rsid w:val="00FC44B5"/>
    <w:rsid w:val="00FC53F7"/>
    <w:rsid w:val="00FC558A"/>
    <w:rsid w:val="00FD0B6E"/>
    <w:rsid w:val="00FD2A74"/>
    <w:rsid w:val="00FE3E33"/>
    <w:rsid w:val="00FE6860"/>
    <w:rsid w:val="00FE7672"/>
    <w:rsid w:val="00FE7C9E"/>
    <w:rsid w:val="00FF1DAC"/>
    <w:rsid w:val="00FF31D7"/>
    <w:rsid w:val="00FF6B8D"/>
    <w:rsid w:val="32BBA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F017"/>
  <w15:chartTrackingRefBased/>
  <w15:docId w15:val="{551B4F4B-AD70-47E0-A7D8-31C4BD9B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3B"/>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A533B"/>
    <w:pPr>
      <w:keepNext/>
      <w:keepLines/>
      <w:spacing w:before="240" w:after="240" w:line="240" w:lineRule="auto"/>
      <w:outlineLvl w:val="3"/>
    </w:pPr>
    <w:rPr>
      <w:rFonts w:ascii="Segoe UI Light" w:eastAsiaTheme="majorEastAsia" w:hAnsi="Segoe UI Light" w:cs="Segoe UI Light"/>
      <w:b/>
      <w:i/>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A533B"/>
    <w:rPr>
      <w:rFonts w:ascii="Segoe UI Light" w:eastAsiaTheme="majorEastAsia" w:hAnsi="Segoe UI Light" w:cs="Segoe UI Light"/>
      <w:b/>
      <w:i/>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paragraph" w:styleId="FootnoteText">
    <w:name w:val="footnote text"/>
    <w:basedOn w:val="Normal"/>
    <w:link w:val="FootnoteTextChar"/>
    <w:uiPriority w:val="99"/>
    <w:semiHidden/>
    <w:unhideWhenUsed/>
    <w:rsid w:val="00292820"/>
    <w:pPr>
      <w:spacing w:after="0"/>
    </w:pPr>
    <w:rPr>
      <w:sz w:val="20"/>
      <w:szCs w:val="20"/>
    </w:rPr>
  </w:style>
  <w:style w:type="character" w:customStyle="1" w:styleId="FootnoteTextChar">
    <w:name w:val="Footnote Text Char"/>
    <w:basedOn w:val="DefaultParagraphFont"/>
    <w:link w:val="FootnoteText"/>
    <w:uiPriority w:val="99"/>
    <w:semiHidden/>
    <w:rsid w:val="00292820"/>
    <w:rPr>
      <w:rFonts w:ascii="Segoe UI" w:hAnsi="Segoe UI"/>
      <w:sz w:val="20"/>
      <w:szCs w:val="20"/>
    </w:rPr>
  </w:style>
  <w:style w:type="character" w:styleId="FootnoteReference">
    <w:name w:val="footnote reference"/>
    <w:basedOn w:val="DefaultParagraphFont"/>
    <w:uiPriority w:val="99"/>
    <w:semiHidden/>
    <w:unhideWhenUsed/>
    <w:rsid w:val="00292820"/>
    <w:rPr>
      <w:vertAlign w:val="superscript"/>
    </w:rPr>
  </w:style>
  <w:style w:type="character" w:styleId="UnresolvedMention">
    <w:name w:val="Unresolved Mention"/>
    <w:basedOn w:val="DefaultParagraphFont"/>
    <w:uiPriority w:val="99"/>
    <w:semiHidden/>
    <w:unhideWhenUsed/>
    <w:rsid w:val="00292820"/>
    <w:rPr>
      <w:color w:val="605E5C"/>
      <w:shd w:val="clear" w:color="auto" w:fill="E1DFDD"/>
    </w:rPr>
  </w:style>
  <w:style w:type="paragraph" w:styleId="Caption">
    <w:name w:val="caption"/>
    <w:basedOn w:val="Normal"/>
    <w:next w:val="Normal"/>
    <w:uiPriority w:val="35"/>
    <w:unhideWhenUsed/>
    <w:qFormat/>
    <w:rsid w:val="00CD63DF"/>
    <w:pPr>
      <w:spacing w:after="200"/>
    </w:pPr>
    <w:rPr>
      <w:i/>
      <w:iCs/>
      <w:color w:val="5A6770" w:themeColor="text2"/>
      <w:sz w:val="18"/>
      <w:szCs w:val="18"/>
    </w:rPr>
  </w:style>
  <w:style w:type="paragraph" w:styleId="Bibliography">
    <w:name w:val="Bibliography"/>
    <w:basedOn w:val="Normal"/>
    <w:next w:val="Normal"/>
    <w:uiPriority w:val="37"/>
    <w:unhideWhenUsed/>
    <w:rsid w:val="009514D7"/>
  </w:style>
  <w:style w:type="paragraph" w:styleId="Revision">
    <w:name w:val="Revision"/>
    <w:hidden/>
    <w:uiPriority w:val="99"/>
    <w:semiHidden/>
    <w:rsid w:val="00264D43"/>
    <w:pPr>
      <w:spacing w:after="0" w:line="240" w:lineRule="auto"/>
    </w:pPr>
    <w:rPr>
      <w:rFonts w:ascii="Segoe UI" w:hAnsi="Segoe UI"/>
    </w:rPr>
  </w:style>
  <w:style w:type="character" w:styleId="CommentReference">
    <w:name w:val="annotation reference"/>
    <w:basedOn w:val="DefaultParagraphFont"/>
    <w:uiPriority w:val="99"/>
    <w:semiHidden/>
    <w:unhideWhenUsed/>
    <w:rsid w:val="000D2C94"/>
    <w:rPr>
      <w:sz w:val="16"/>
      <w:szCs w:val="16"/>
    </w:rPr>
  </w:style>
  <w:style w:type="paragraph" w:styleId="CommentText">
    <w:name w:val="annotation text"/>
    <w:basedOn w:val="Normal"/>
    <w:link w:val="CommentTextChar"/>
    <w:uiPriority w:val="99"/>
    <w:unhideWhenUsed/>
    <w:rsid w:val="000D2C94"/>
    <w:rPr>
      <w:sz w:val="20"/>
      <w:szCs w:val="20"/>
    </w:rPr>
  </w:style>
  <w:style w:type="character" w:customStyle="1" w:styleId="CommentTextChar">
    <w:name w:val="Comment Text Char"/>
    <w:basedOn w:val="DefaultParagraphFont"/>
    <w:link w:val="CommentText"/>
    <w:uiPriority w:val="99"/>
    <w:rsid w:val="000D2C94"/>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0D2C94"/>
    <w:rPr>
      <w:b/>
      <w:bCs/>
    </w:rPr>
  </w:style>
  <w:style w:type="character" w:customStyle="1" w:styleId="CommentSubjectChar">
    <w:name w:val="Comment Subject Char"/>
    <w:basedOn w:val="CommentTextChar"/>
    <w:link w:val="CommentSubject"/>
    <w:uiPriority w:val="99"/>
    <w:semiHidden/>
    <w:rsid w:val="000D2C94"/>
    <w:rPr>
      <w:rFonts w:ascii="Segoe UI" w:hAnsi="Segoe UI"/>
      <w:b/>
      <w:bCs/>
      <w:sz w:val="20"/>
      <w:szCs w:val="20"/>
    </w:rPr>
  </w:style>
  <w:style w:type="character" w:styleId="PlaceholderText">
    <w:name w:val="Placeholder Text"/>
    <w:basedOn w:val="DefaultParagraphFont"/>
    <w:uiPriority w:val="99"/>
    <w:semiHidden/>
    <w:rsid w:val="006374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205">
      <w:bodyDiv w:val="1"/>
      <w:marLeft w:val="0"/>
      <w:marRight w:val="0"/>
      <w:marTop w:val="0"/>
      <w:marBottom w:val="0"/>
      <w:divBdr>
        <w:top w:val="none" w:sz="0" w:space="0" w:color="auto"/>
        <w:left w:val="none" w:sz="0" w:space="0" w:color="auto"/>
        <w:bottom w:val="none" w:sz="0" w:space="0" w:color="auto"/>
        <w:right w:val="none" w:sz="0" w:space="0" w:color="auto"/>
      </w:divBdr>
    </w:div>
    <w:div w:id="349649495">
      <w:bodyDiv w:val="1"/>
      <w:marLeft w:val="0"/>
      <w:marRight w:val="0"/>
      <w:marTop w:val="0"/>
      <w:marBottom w:val="0"/>
      <w:divBdr>
        <w:top w:val="none" w:sz="0" w:space="0" w:color="auto"/>
        <w:left w:val="none" w:sz="0" w:space="0" w:color="auto"/>
        <w:bottom w:val="none" w:sz="0" w:space="0" w:color="auto"/>
        <w:right w:val="none" w:sz="0" w:space="0" w:color="auto"/>
      </w:divBdr>
    </w:div>
    <w:div w:id="523985550">
      <w:bodyDiv w:val="1"/>
      <w:marLeft w:val="0"/>
      <w:marRight w:val="0"/>
      <w:marTop w:val="0"/>
      <w:marBottom w:val="0"/>
      <w:divBdr>
        <w:top w:val="none" w:sz="0" w:space="0" w:color="auto"/>
        <w:left w:val="none" w:sz="0" w:space="0" w:color="auto"/>
        <w:bottom w:val="none" w:sz="0" w:space="0" w:color="auto"/>
        <w:right w:val="none" w:sz="0" w:space="0" w:color="auto"/>
      </w:divBdr>
    </w:div>
    <w:div w:id="1453356024">
      <w:bodyDiv w:val="1"/>
      <w:marLeft w:val="0"/>
      <w:marRight w:val="0"/>
      <w:marTop w:val="0"/>
      <w:marBottom w:val="0"/>
      <w:divBdr>
        <w:top w:val="none" w:sz="0" w:space="0" w:color="auto"/>
        <w:left w:val="none" w:sz="0" w:space="0" w:color="auto"/>
        <w:bottom w:val="none" w:sz="0" w:space="0" w:color="auto"/>
        <w:right w:val="none" w:sz="0" w:space="0" w:color="auto"/>
      </w:divBdr>
    </w:div>
    <w:div w:id="1671172657">
      <w:bodyDiv w:val="1"/>
      <w:marLeft w:val="0"/>
      <w:marRight w:val="0"/>
      <w:marTop w:val="0"/>
      <w:marBottom w:val="0"/>
      <w:divBdr>
        <w:top w:val="none" w:sz="0" w:space="0" w:color="auto"/>
        <w:left w:val="none" w:sz="0" w:space="0" w:color="auto"/>
        <w:bottom w:val="none" w:sz="0" w:space="0" w:color="auto"/>
        <w:right w:val="none" w:sz="0" w:space="0" w:color="auto"/>
      </w:divBdr>
    </w:div>
    <w:div w:id="1813474144">
      <w:bodyDiv w:val="1"/>
      <w:marLeft w:val="0"/>
      <w:marRight w:val="0"/>
      <w:marTop w:val="0"/>
      <w:marBottom w:val="0"/>
      <w:divBdr>
        <w:top w:val="none" w:sz="0" w:space="0" w:color="auto"/>
        <w:left w:val="none" w:sz="0" w:space="0" w:color="auto"/>
        <w:bottom w:val="none" w:sz="0" w:space="0" w:color="auto"/>
        <w:right w:val="none" w:sz="0" w:space="0" w:color="auto"/>
      </w:divBdr>
    </w:div>
    <w:div w:id="195907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upport.sas.com/documentation/onlinedoc/stat/132/fastclus.pdf" TargetMode="External"/><Relationship Id="rId2" Type="http://schemas.openxmlformats.org/officeDocument/2006/relationships/hyperlink" Target="https://spp.org/western-services/weis/" TargetMode="External"/><Relationship Id="rId1" Type="http://schemas.openxmlformats.org/officeDocument/2006/relationships/hyperlink" Target="https://www.spp.org/western-services/rto-expansion/" TargetMode="External"/><Relationship Id="rId4" Type="http://schemas.openxmlformats.org/officeDocument/2006/relationships/hyperlink" Target="https://portal.spp.org/groups/integrated-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h0625\OneDrive%20-%20Southwest%20Power%20Pool,%20Inc\Presentation%20and%20Paper%20Guidelines\Report+Template+20190913%20(1).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9111FAF8A1C16249AFF212114CC1E581" ma:contentTypeVersion="7" ma:contentTypeDescription="Create a new document." ma:contentTypeScope="" ma:versionID="d2c7c5b9050bc348b0f75906d20c36c0">
  <xsd:schema xmlns:xsd="http://www.w3.org/2001/XMLSchema" xmlns:xs="http://www.w3.org/2001/XMLSchema" xmlns:p="http://schemas.microsoft.com/office/2006/metadata/properties" xmlns:ns1="http://schemas.microsoft.com/sharepoint/v3" xmlns:ns2="e229ac63-e010-4dad-853f-6de8bb73caa9" targetNamespace="http://schemas.microsoft.com/office/2006/metadata/properties" ma:root="true" ma:fieldsID="56f774cafbf116e0cc6b32c17ddbebdb" ns1:_="" ns2:_="">
    <xsd:import namespace="http://schemas.microsoft.com/sharepoint/v3"/>
    <xsd:import namespace="e229ac63-e010-4dad-853f-6de8bb73c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9ac63-e010-4dad-853f-6de8bb73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A169A-54E3-447C-8A4F-90E58F55E938}">
  <ds:schemaRefs>
    <ds:schemaRef ds:uri="http://schemas.openxmlformats.org/officeDocument/2006/bibliography"/>
  </ds:schemaRefs>
</ds:datastoreItem>
</file>

<file path=customXml/itemProps2.xml><?xml version="1.0" encoding="utf-8"?>
<ds:datastoreItem xmlns:ds="http://schemas.openxmlformats.org/officeDocument/2006/customXml" ds:itemID="{2E4E2B9D-0E92-46FB-BBB5-B0E99AB46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29ac63-e010-4dad-853f-6de8bb73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EB63F-8672-4F32-9826-888E9909257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E2FE2B-563E-46E8-876C-E71DA08039A6}">
  <ds:schemaRefs>
    <ds:schemaRef ds:uri="http://schemas.microsoft.com/sharepoint/v3/contenttype/forms"/>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Report+Template+20190913 (1)</Template>
  <TotalTime>0</TotalTime>
  <Pages>12</Pages>
  <Words>2356</Words>
  <Characters>12865</Characters>
  <Application>Microsoft Office Word</Application>
  <DocSecurity>0</DocSecurity>
  <Lines>476</Lines>
  <Paragraphs>323</Paragraphs>
  <ScaleCrop>false</ScaleCrop>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Harker Steele</dc:creator>
  <cp:keywords/>
  <dc:description/>
  <cp:lastModifiedBy>Ken Sands</cp:lastModifiedBy>
  <cp:revision>2</cp:revision>
  <dcterms:created xsi:type="dcterms:W3CDTF">2026-01-19T22:21:00Z</dcterms:created>
  <dcterms:modified xsi:type="dcterms:W3CDTF">2026-01-19T22:21:00Z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0x0101009111FAF8A1C16249AFF212114CC1E581</vt:lpwstr>
  </property>
  <property fmtid="{D5CDD505-2E9C-101B-9397-08002B2CF9AE}" pid="3" name="MediaServiceImageTags">
    <vt:lpwstr/>
  </property>
</Properties>
</file>